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45DB9" w14:textId="00FC90AA" w:rsidR="00A34DEF" w:rsidRPr="00391579" w:rsidRDefault="00A34DEF" w:rsidP="00621E9D">
      <w:pPr>
        <w:pStyle w:val="Titre2"/>
        <w:spacing w:before="0" w:after="0"/>
        <w:jc w:val="center"/>
        <w:rPr>
          <w:rFonts w:ascii="Garamond" w:hAnsi="Garamond"/>
          <w:color w:val="000000" w:themeColor="text1"/>
          <w:sz w:val="24"/>
          <w:szCs w:val="24"/>
        </w:rPr>
      </w:pPr>
    </w:p>
    <w:p w14:paraId="619D795D" w14:textId="77777777" w:rsidR="009E390C" w:rsidRDefault="009E390C" w:rsidP="007C1B5A">
      <w:pPr>
        <w:pStyle w:val="Titre2"/>
        <w:pBdr>
          <w:top w:val="single" w:sz="24" w:space="1" w:color="E6DFCF"/>
          <w:left w:val="single" w:sz="24" w:space="4" w:color="E6DFCF"/>
          <w:bottom w:val="single" w:sz="24" w:space="1" w:color="E6DFCF"/>
          <w:right w:val="single" w:sz="24" w:space="4" w:color="E6DFCF"/>
        </w:pBdr>
        <w:spacing w:before="0" w:after="0"/>
        <w:jc w:val="center"/>
        <w:rPr>
          <w:rFonts w:ascii="Garamond" w:hAnsi="Garamond"/>
          <w:color w:val="000000" w:themeColor="text1"/>
          <w:sz w:val="24"/>
          <w:szCs w:val="24"/>
        </w:rPr>
      </w:pPr>
    </w:p>
    <w:p w14:paraId="764C6B7A" w14:textId="3CE2F05E" w:rsidR="00A34DEF" w:rsidRPr="00C04BBE" w:rsidRDefault="00A34DEF" w:rsidP="007C1B5A">
      <w:pPr>
        <w:pStyle w:val="Titre2"/>
        <w:pBdr>
          <w:top w:val="single" w:sz="24" w:space="1" w:color="E6DFCF"/>
          <w:left w:val="single" w:sz="24" w:space="4" w:color="E6DFCF"/>
          <w:bottom w:val="single" w:sz="24" w:space="1" w:color="E6DFCF"/>
          <w:right w:val="single" w:sz="24" w:space="4" w:color="E6DFCF"/>
        </w:pBdr>
        <w:spacing w:before="0" w:after="0"/>
        <w:jc w:val="center"/>
        <w:rPr>
          <w:rFonts w:ascii="Garamond" w:hAnsi="Garamond"/>
          <w:color w:val="C00000"/>
          <w:sz w:val="28"/>
          <w:szCs w:val="28"/>
        </w:rPr>
      </w:pPr>
      <w:r w:rsidRPr="00C04BBE">
        <w:rPr>
          <w:rFonts w:ascii="Garamond" w:hAnsi="Garamond"/>
          <w:color w:val="C00000"/>
          <w:sz w:val="28"/>
          <w:szCs w:val="28"/>
        </w:rPr>
        <w:t>CONTRAT</w:t>
      </w:r>
      <w:r w:rsidR="008275DE" w:rsidRPr="00C04BBE">
        <w:rPr>
          <w:rFonts w:ascii="Garamond" w:hAnsi="Garamond"/>
          <w:color w:val="C00000"/>
          <w:sz w:val="28"/>
          <w:szCs w:val="28"/>
        </w:rPr>
        <w:t>S</w:t>
      </w:r>
      <w:r w:rsidRPr="00C04BBE">
        <w:rPr>
          <w:rFonts w:ascii="Garamond" w:hAnsi="Garamond"/>
          <w:color w:val="C00000"/>
          <w:sz w:val="28"/>
          <w:szCs w:val="28"/>
        </w:rPr>
        <w:t xml:space="preserve"> DOCTORA</w:t>
      </w:r>
      <w:r w:rsidR="008275DE" w:rsidRPr="00C04BBE">
        <w:rPr>
          <w:rFonts w:ascii="Garamond" w:hAnsi="Garamond"/>
          <w:color w:val="C00000"/>
          <w:sz w:val="28"/>
          <w:szCs w:val="28"/>
        </w:rPr>
        <w:t>UX</w:t>
      </w:r>
      <w:r w:rsidRPr="00C04BBE">
        <w:rPr>
          <w:rFonts w:ascii="Garamond" w:hAnsi="Garamond"/>
          <w:color w:val="C00000"/>
          <w:sz w:val="28"/>
          <w:szCs w:val="28"/>
        </w:rPr>
        <w:t xml:space="preserve"> </w:t>
      </w:r>
      <w:r w:rsidR="00972D9F" w:rsidRPr="00C04BBE">
        <w:rPr>
          <w:rFonts w:ascii="Garamond" w:hAnsi="Garamond"/>
          <w:color w:val="C00000"/>
          <w:sz w:val="28"/>
          <w:szCs w:val="28"/>
        </w:rPr>
        <w:t>“Les fabriques de l’antique” (</w:t>
      </w:r>
      <w:proofErr w:type="spellStart"/>
      <w:r w:rsidR="00972D9F" w:rsidRPr="00C04BBE">
        <w:rPr>
          <w:rFonts w:ascii="Garamond" w:hAnsi="Garamond"/>
          <w:color w:val="C00000"/>
          <w:sz w:val="28"/>
          <w:szCs w:val="28"/>
        </w:rPr>
        <w:t>FAn</w:t>
      </w:r>
      <w:proofErr w:type="spellEnd"/>
      <w:r w:rsidR="00972D9F" w:rsidRPr="00C04BBE">
        <w:rPr>
          <w:rFonts w:ascii="Garamond" w:hAnsi="Garamond"/>
          <w:color w:val="C00000"/>
          <w:sz w:val="28"/>
          <w:szCs w:val="28"/>
        </w:rPr>
        <w:t xml:space="preserve">) </w:t>
      </w:r>
      <w:r w:rsidRPr="00C04BBE">
        <w:rPr>
          <w:rFonts w:ascii="Garamond" w:hAnsi="Garamond"/>
          <w:color w:val="C00000"/>
          <w:sz w:val="28"/>
          <w:szCs w:val="28"/>
        </w:rPr>
        <w:t>202</w:t>
      </w:r>
      <w:r w:rsidR="00972D9F" w:rsidRPr="00C04BBE">
        <w:rPr>
          <w:rFonts w:ascii="Garamond" w:hAnsi="Garamond"/>
          <w:color w:val="C00000"/>
          <w:sz w:val="28"/>
          <w:szCs w:val="28"/>
        </w:rPr>
        <w:t>5</w:t>
      </w:r>
    </w:p>
    <w:p w14:paraId="58E55AA8" w14:textId="77777777" w:rsidR="009E390C" w:rsidRDefault="009E390C" w:rsidP="007C1B5A">
      <w:pPr>
        <w:pBdr>
          <w:top w:val="single" w:sz="24" w:space="1" w:color="E6DFCF"/>
          <w:left w:val="single" w:sz="24" w:space="4" w:color="E6DFCF"/>
          <w:bottom w:val="single" w:sz="24" w:space="1" w:color="E6DFCF"/>
          <w:right w:val="single" w:sz="24" w:space="4" w:color="E6DFCF"/>
        </w:pBdr>
      </w:pPr>
    </w:p>
    <w:p w14:paraId="037F460A" w14:textId="77777777" w:rsidR="009E390C" w:rsidRPr="007C1B5A" w:rsidRDefault="009E390C" w:rsidP="007C1B5A">
      <w:pPr>
        <w:pBdr>
          <w:top w:val="single" w:sz="24" w:space="1" w:color="E6DFCF"/>
          <w:left w:val="single" w:sz="24" w:space="4" w:color="E6DFCF"/>
          <w:bottom w:val="single" w:sz="24" w:space="1" w:color="E6DFCF"/>
          <w:right w:val="single" w:sz="24" w:space="4" w:color="E6DFCF"/>
        </w:pBdr>
        <w:jc w:val="center"/>
        <w:rPr>
          <w:rFonts w:ascii="Garamond" w:hAnsi="Garamond"/>
          <w:color w:val="C00000"/>
          <w:sz w:val="20"/>
          <w:szCs w:val="20"/>
        </w:rPr>
      </w:pPr>
      <w:r w:rsidRPr="007C1B5A">
        <w:rPr>
          <w:rFonts w:ascii="Garamond" w:hAnsi="Garamond"/>
          <w:color w:val="C00000"/>
          <w:sz w:val="20"/>
          <w:szCs w:val="20"/>
        </w:rPr>
        <w:t>Calendrier du concours :</w:t>
      </w:r>
    </w:p>
    <w:p w14:paraId="44AE9B1D" w14:textId="77777777" w:rsidR="009E390C" w:rsidRPr="007C1B5A" w:rsidRDefault="009E390C" w:rsidP="007C1B5A">
      <w:pPr>
        <w:pBdr>
          <w:top w:val="single" w:sz="24" w:space="1" w:color="E6DFCF"/>
          <w:left w:val="single" w:sz="24" w:space="4" w:color="E6DFCF"/>
          <w:bottom w:val="single" w:sz="24" w:space="1" w:color="E6DFCF"/>
          <w:right w:val="single" w:sz="24" w:space="4" w:color="E6DFCF"/>
        </w:pBdr>
        <w:jc w:val="center"/>
        <w:rPr>
          <w:rFonts w:ascii="Garamond" w:hAnsi="Garamond"/>
          <w:color w:val="C00000"/>
          <w:sz w:val="20"/>
          <w:szCs w:val="20"/>
        </w:rPr>
      </w:pPr>
    </w:p>
    <w:p w14:paraId="79818B30" w14:textId="7DE187AE" w:rsidR="009E390C" w:rsidRPr="007C1B5A" w:rsidRDefault="009E390C" w:rsidP="007C1B5A">
      <w:pPr>
        <w:pBdr>
          <w:top w:val="single" w:sz="24" w:space="1" w:color="E6DFCF"/>
          <w:left w:val="single" w:sz="24" w:space="4" w:color="E6DFCF"/>
          <w:bottom w:val="single" w:sz="24" w:space="1" w:color="E6DFCF"/>
          <w:right w:val="single" w:sz="24" w:space="4" w:color="E6DFCF"/>
        </w:pBdr>
        <w:jc w:val="center"/>
        <w:rPr>
          <w:rFonts w:ascii="Garamond" w:hAnsi="Garamond"/>
          <w:color w:val="C00000"/>
          <w:sz w:val="20"/>
          <w:szCs w:val="20"/>
        </w:rPr>
      </w:pPr>
      <w:r w:rsidRPr="007C1B5A">
        <w:rPr>
          <w:rFonts w:ascii="Garamond" w:hAnsi="Garamond"/>
          <w:color w:val="C00000"/>
          <w:sz w:val="20"/>
          <w:szCs w:val="20"/>
        </w:rPr>
        <w:t xml:space="preserve">Appel : </w:t>
      </w:r>
      <w:r w:rsidR="00881458" w:rsidRPr="007C1B5A">
        <w:rPr>
          <w:rFonts w:ascii="Garamond" w:hAnsi="Garamond"/>
          <w:color w:val="C00000"/>
          <w:sz w:val="20"/>
          <w:szCs w:val="20"/>
        </w:rPr>
        <w:t>18</w:t>
      </w:r>
      <w:r w:rsidRPr="007C1B5A">
        <w:rPr>
          <w:rFonts w:ascii="Garamond" w:hAnsi="Garamond"/>
          <w:color w:val="C00000"/>
          <w:sz w:val="20"/>
          <w:szCs w:val="20"/>
        </w:rPr>
        <w:t xml:space="preserve"> mars 2025</w:t>
      </w:r>
    </w:p>
    <w:p w14:paraId="79C5A09A" w14:textId="77777777" w:rsidR="009E390C" w:rsidRPr="007C1B5A" w:rsidRDefault="009E390C" w:rsidP="007C1B5A">
      <w:pPr>
        <w:pBdr>
          <w:top w:val="single" w:sz="24" w:space="1" w:color="E6DFCF"/>
          <w:left w:val="single" w:sz="24" w:space="4" w:color="E6DFCF"/>
          <w:bottom w:val="single" w:sz="24" w:space="1" w:color="E6DFCF"/>
          <w:right w:val="single" w:sz="24" w:space="4" w:color="E6DFCF"/>
        </w:pBdr>
        <w:jc w:val="center"/>
        <w:rPr>
          <w:rFonts w:ascii="Garamond" w:hAnsi="Garamond"/>
          <w:color w:val="C00000"/>
          <w:sz w:val="20"/>
          <w:szCs w:val="20"/>
        </w:rPr>
      </w:pPr>
      <w:r w:rsidRPr="007C1B5A">
        <w:rPr>
          <w:rFonts w:ascii="Garamond" w:hAnsi="Garamond"/>
          <w:color w:val="C00000"/>
          <w:sz w:val="20"/>
          <w:szCs w:val="20"/>
        </w:rPr>
        <w:t>Date limite d’envoi des candidatures : 18 mai 2025, à 23h59</w:t>
      </w:r>
    </w:p>
    <w:p w14:paraId="2DAF3101" w14:textId="095C0410" w:rsidR="009E390C" w:rsidRPr="007C1B5A" w:rsidRDefault="004150D1" w:rsidP="007C1B5A">
      <w:pPr>
        <w:pBdr>
          <w:top w:val="single" w:sz="24" w:space="1" w:color="E6DFCF"/>
          <w:left w:val="single" w:sz="24" w:space="4" w:color="E6DFCF"/>
          <w:bottom w:val="single" w:sz="24" w:space="1" w:color="E6DFCF"/>
          <w:right w:val="single" w:sz="24" w:space="4" w:color="E6DFCF"/>
        </w:pBdr>
        <w:jc w:val="center"/>
        <w:rPr>
          <w:rFonts w:ascii="Garamond" w:hAnsi="Garamond"/>
          <w:color w:val="C00000"/>
          <w:sz w:val="20"/>
          <w:szCs w:val="20"/>
        </w:rPr>
      </w:pPr>
      <w:r w:rsidRPr="007C1B5A">
        <w:rPr>
          <w:rFonts w:ascii="Garamond" w:hAnsi="Garamond"/>
          <w:color w:val="C00000"/>
          <w:sz w:val="20"/>
          <w:szCs w:val="20"/>
        </w:rPr>
        <w:t>C</w:t>
      </w:r>
      <w:r w:rsidR="009E390C" w:rsidRPr="007C1B5A">
        <w:rPr>
          <w:rFonts w:ascii="Garamond" w:hAnsi="Garamond"/>
          <w:color w:val="C00000"/>
          <w:sz w:val="20"/>
          <w:szCs w:val="20"/>
        </w:rPr>
        <w:t>onvocation des candidat(e)s admissibles : 3 juin 2025</w:t>
      </w:r>
    </w:p>
    <w:p w14:paraId="34F7ACFC" w14:textId="77777777" w:rsidR="009E390C" w:rsidRPr="007C1B5A" w:rsidRDefault="009E390C" w:rsidP="007C1B5A">
      <w:pPr>
        <w:pBdr>
          <w:top w:val="single" w:sz="24" w:space="1" w:color="E6DFCF"/>
          <w:left w:val="single" w:sz="24" w:space="4" w:color="E6DFCF"/>
          <w:bottom w:val="single" w:sz="24" w:space="1" w:color="E6DFCF"/>
          <w:right w:val="single" w:sz="24" w:space="4" w:color="E6DFCF"/>
        </w:pBdr>
        <w:jc w:val="center"/>
        <w:rPr>
          <w:rFonts w:ascii="Garamond" w:hAnsi="Garamond"/>
          <w:color w:val="C00000"/>
          <w:sz w:val="20"/>
          <w:szCs w:val="20"/>
        </w:rPr>
      </w:pPr>
      <w:r w:rsidRPr="007C1B5A">
        <w:rPr>
          <w:rFonts w:ascii="Garamond" w:hAnsi="Garamond"/>
          <w:color w:val="C00000"/>
          <w:sz w:val="20"/>
          <w:szCs w:val="20"/>
        </w:rPr>
        <w:t>Auditions : 17 juin 2025</w:t>
      </w:r>
    </w:p>
    <w:p w14:paraId="1CB40D2D" w14:textId="77777777" w:rsidR="009E390C" w:rsidRDefault="009E390C" w:rsidP="007C1B5A">
      <w:pPr>
        <w:pBdr>
          <w:top w:val="single" w:sz="24" w:space="1" w:color="E6DFCF"/>
          <w:left w:val="single" w:sz="24" w:space="4" w:color="E6DFCF"/>
          <w:bottom w:val="single" w:sz="24" w:space="1" w:color="E6DFCF"/>
          <w:right w:val="single" w:sz="24" w:space="4" w:color="E6DFCF"/>
        </w:pBdr>
        <w:jc w:val="center"/>
        <w:rPr>
          <w:rFonts w:ascii="Garamond" w:hAnsi="Garamond"/>
          <w:color w:val="C00000"/>
          <w:sz w:val="20"/>
          <w:szCs w:val="20"/>
        </w:rPr>
      </w:pPr>
      <w:r w:rsidRPr="007C1B5A">
        <w:rPr>
          <w:rFonts w:ascii="Garamond" w:hAnsi="Garamond"/>
          <w:color w:val="C00000"/>
          <w:sz w:val="20"/>
          <w:szCs w:val="20"/>
        </w:rPr>
        <w:t>Résultats : à partir du 18 juin 2025</w:t>
      </w:r>
    </w:p>
    <w:p w14:paraId="2424A5AC" w14:textId="77777777" w:rsidR="007C1B5A" w:rsidRDefault="007C1B5A" w:rsidP="007C1B5A">
      <w:pPr>
        <w:pBdr>
          <w:top w:val="single" w:sz="24" w:space="1" w:color="E6DFCF"/>
          <w:left w:val="single" w:sz="24" w:space="4" w:color="E6DFCF"/>
          <w:bottom w:val="single" w:sz="24" w:space="1" w:color="E6DFCF"/>
          <w:right w:val="single" w:sz="24" w:space="4" w:color="E6DFCF"/>
        </w:pBdr>
        <w:jc w:val="center"/>
        <w:rPr>
          <w:rFonts w:ascii="Garamond" w:hAnsi="Garamond"/>
          <w:color w:val="C00000"/>
          <w:sz w:val="20"/>
          <w:szCs w:val="20"/>
        </w:rPr>
      </w:pPr>
    </w:p>
    <w:p w14:paraId="4EB6902E" w14:textId="77777777" w:rsidR="009E390C" w:rsidRPr="00621E9D" w:rsidRDefault="009E390C" w:rsidP="002A7179"/>
    <w:p w14:paraId="3D5AE3C6" w14:textId="77777777" w:rsidR="00A34DEF" w:rsidRDefault="00A34DEF" w:rsidP="00621E9D">
      <w:pPr>
        <w:rPr>
          <w:rStyle w:val="lev"/>
          <w:rFonts w:ascii="Garamond" w:eastAsiaTheme="majorEastAsia" w:hAnsi="Garamond"/>
          <w:color w:val="000000" w:themeColor="text1"/>
        </w:rPr>
      </w:pPr>
    </w:p>
    <w:p w14:paraId="706C8787" w14:textId="77777777" w:rsidR="0033732D" w:rsidRPr="00391579" w:rsidRDefault="0033732D" w:rsidP="00621E9D">
      <w:pPr>
        <w:rPr>
          <w:rStyle w:val="lev"/>
          <w:rFonts w:ascii="Garamond" w:eastAsiaTheme="majorEastAsia" w:hAnsi="Garamond"/>
          <w:color w:val="000000" w:themeColor="text1"/>
        </w:rPr>
      </w:pPr>
    </w:p>
    <w:p w14:paraId="62E0F1AD" w14:textId="77777777" w:rsidR="00A34DEF" w:rsidRPr="00391579" w:rsidRDefault="00A34DEF" w:rsidP="00A34DEF">
      <w:pPr>
        <w:jc w:val="center"/>
        <w:rPr>
          <w:rStyle w:val="lev"/>
          <w:rFonts w:ascii="Garamond" w:eastAsiaTheme="majorEastAsia" w:hAnsi="Garamond"/>
          <w:color w:val="000000" w:themeColor="text1"/>
        </w:rPr>
      </w:pPr>
    </w:p>
    <w:p w14:paraId="6AA47660" w14:textId="692C0E87" w:rsidR="00A34DEF" w:rsidRPr="00391579" w:rsidRDefault="00A34DEF" w:rsidP="00A34DEF">
      <w:pPr>
        <w:jc w:val="center"/>
        <w:rPr>
          <w:rStyle w:val="lev"/>
          <w:rFonts w:ascii="Garamond" w:eastAsiaTheme="majorEastAsia" w:hAnsi="Garamond"/>
          <w:color w:val="000000" w:themeColor="text1"/>
        </w:rPr>
      </w:pPr>
      <w:r w:rsidRPr="00391579">
        <w:rPr>
          <w:rStyle w:val="lev"/>
          <w:rFonts w:ascii="Garamond" w:eastAsiaTheme="majorEastAsia" w:hAnsi="Garamond"/>
          <w:color w:val="000000" w:themeColor="text1"/>
        </w:rPr>
        <w:t xml:space="preserve">APPEL A CANDIDATURE – DATE LIMITE : </w:t>
      </w:r>
      <w:r w:rsidRPr="00A61504">
        <w:rPr>
          <w:rStyle w:val="lev"/>
          <w:rFonts w:ascii="Garamond" w:eastAsiaTheme="majorEastAsia" w:hAnsi="Garamond"/>
          <w:color w:val="000000" w:themeColor="text1"/>
        </w:rPr>
        <w:t xml:space="preserve">DIMANCHE </w:t>
      </w:r>
      <w:r w:rsidR="008827A6" w:rsidRPr="00A61504">
        <w:rPr>
          <w:rStyle w:val="lev"/>
          <w:rFonts w:ascii="Garamond" w:eastAsiaTheme="majorEastAsia" w:hAnsi="Garamond"/>
          <w:color w:val="000000" w:themeColor="text1"/>
        </w:rPr>
        <w:t>18 MAI</w:t>
      </w:r>
      <w:r w:rsidR="00972D9F" w:rsidRPr="00A61504">
        <w:rPr>
          <w:rStyle w:val="lev"/>
          <w:rFonts w:ascii="Garamond" w:eastAsiaTheme="majorEastAsia" w:hAnsi="Garamond"/>
          <w:color w:val="000000" w:themeColor="text1"/>
        </w:rPr>
        <w:t xml:space="preserve"> 2025</w:t>
      </w:r>
      <w:r w:rsidRPr="00A61504">
        <w:rPr>
          <w:rStyle w:val="lev"/>
          <w:rFonts w:ascii="Garamond" w:eastAsiaTheme="majorEastAsia" w:hAnsi="Garamond"/>
          <w:color w:val="000000" w:themeColor="text1"/>
        </w:rPr>
        <w:t xml:space="preserve"> </w:t>
      </w:r>
    </w:p>
    <w:p w14:paraId="425E3CBB" w14:textId="77777777" w:rsidR="00A34DEF" w:rsidRDefault="00A34DEF" w:rsidP="00A34DEF">
      <w:pPr>
        <w:jc w:val="center"/>
        <w:rPr>
          <w:rStyle w:val="lev"/>
          <w:rFonts w:ascii="Garamond" w:eastAsiaTheme="majorEastAsia" w:hAnsi="Garamond"/>
          <w:color w:val="000000" w:themeColor="text1"/>
        </w:rPr>
      </w:pPr>
    </w:p>
    <w:p w14:paraId="13906549" w14:textId="77777777" w:rsidR="00495A3A" w:rsidRPr="00391579" w:rsidRDefault="00495A3A" w:rsidP="00A34DEF">
      <w:pPr>
        <w:jc w:val="center"/>
        <w:rPr>
          <w:rStyle w:val="lev"/>
          <w:rFonts w:ascii="Garamond" w:eastAsiaTheme="majorEastAsia" w:hAnsi="Garamond"/>
          <w:color w:val="000000" w:themeColor="text1"/>
        </w:rPr>
      </w:pPr>
    </w:p>
    <w:p w14:paraId="338B24E3" w14:textId="5A363CB7" w:rsidR="00E62177" w:rsidRDefault="00A34DEF" w:rsidP="001151CA">
      <w:pPr>
        <w:jc w:val="both"/>
        <w:rPr>
          <w:rFonts w:ascii="Garamond" w:hAnsi="Garamond"/>
          <w:color w:val="000000" w:themeColor="text1"/>
        </w:rPr>
      </w:pPr>
      <w:r w:rsidRPr="00391579">
        <w:rPr>
          <w:rFonts w:ascii="Garamond" w:hAnsi="Garamond"/>
          <w:color w:val="000000" w:themeColor="text1"/>
        </w:rPr>
        <w:t>L</w:t>
      </w:r>
      <w:r w:rsidR="00972D9F" w:rsidRPr="00391579">
        <w:rPr>
          <w:rFonts w:ascii="Garamond" w:hAnsi="Garamond"/>
          <w:color w:val="000000" w:themeColor="text1"/>
        </w:rPr>
        <w:t>e Grand Programme de Recherche “Les fabriques de l’antique” (</w:t>
      </w:r>
      <w:proofErr w:type="spellStart"/>
      <w:r w:rsidR="00972D9F" w:rsidRPr="00391579">
        <w:rPr>
          <w:rFonts w:ascii="Garamond" w:hAnsi="Garamond"/>
          <w:color w:val="000000" w:themeColor="text1"/>
        </w:rPr>
        <w:t>FAn</w:t>
      </w:r>
      <w:proofErr w:type="spellEnd"/>
      <w:r w:rsidR="0038632D" w:rsidRPr="00391579">
        <w:rPr>
          <w:rFonts w:ascii="Garamond" w:hAnsi="Garamond"/>
          <w:color w:val="000000" w:themeColor="text1"/>
        </w:rPr>
        <w:t> ; Université Paris Sciences et Lettres</w:t>
      </w:r>
      <w:r w:rsidR="00972D9F" w:rsidRPr="00391579">
        <w:rPr>
          <w:rFonts w:ascii="Garamond" w:hAnsi="Garamond"/>
          <w:color w:val="000000" w:themeColor="text1"/>
        </w:rPr>
        <w:t>)</w:t>
      </w:r>
      <w:r w:rsidRPr="00391579">
        <w:rPr>
          <w:rFonts w:ascii="Garamond" w:hAnsi="Garamond"/>
          <w:color w:val="000000" w:themeColor="text1"/>
        </w:rPr>
        <w:t xml:space="preserve"> met au concours </w:t>
      </w:r>
      <w:r w:rsidR="00497C46">
        <w:rPr>
          <w:rFonts w:ascii="Garamond" w:hAnsi="Garamond"/>
          <w:bCs/>
          <w:color w:val="000000" w:themeColor="text1"/>
        </w:rPr>
        <w:t>deux</w:t>
      </w:r>
      <w:r w:rsidR="00497C46" w:rsidRPr="00391579">
        <w:rPr>
          <w:rFonts w:ascii="Garamond" w:hAnsi="Garamond"/>
          <w:bCs/>
          <w:color w:val="000000" w:themeColor="text1"/>
        </w:rPr>
        <w:t xml:space="preserve"> </w:t>
      </w:r>
      <w:r w:rsidRPr="00391579">
        <w:rPr>
          <w:rFonts w:ascii="Garamond" w:hAnsi="Garamond"/>
          <w:bCs/>
          <w:color w:val="000000" w:themeColor="text1"/>
        </w:rPr>
        <w:t>contrats doctoraux</w:t>
      </w:r>
      <w:r w:rsidRPr="00391579">
        <w:rPr>
          <w:rFonts w:ascii="Garamond" w:hAnsi="Garamond"/>
          <w:color w:val="000000" w:themeColor="text1"/>
        </w:rPr>
        <w:t xml:space="preserve"> en 202</w:t>
      </w:r>
      <w:r w:rsidR="00972D9F" w:rsidRPr="00391579">
        <w:rPr>
          <w:rFonts w:ascii="Garamond" w:hAnsi="Garamond"/>
          <w:color w:val="000000" w:themeColor="text1"/>
        </w:rPr>
        <w:t>5</w:t>
      </w:r>
      <w:r w:rsidRPr="00391579">
        <w:rPr>
          <w:rFonts w:ascii="Garamond" w:hAnsi="Garamond"/>
          <w:color w:val="000000" w:themeColor="text1"/>
        </w:rPr>
        <w:t>.</w:t>
      </w:r>
    </w:p>
    <w:p w14:paraId="1AF7401C" w14:textId="77777777" w:rsidR="0061719D" w:rsidRDefault="0061719D" w:rsidP="001151CA">
      <w:pPr>
        <w:jc w:val="both"/>
        <w:rPr>
          <w:rFonts w:ascii="Garamond" w:hAnsi="Garamond"/>
          <w:color w:val="000000" w:themeColor="text1"/>
        </w:rPr>
      </w:pPr>
    </w:p>
    <w:p w14:paraId="492E463C" w14:textId="6DC412FE" w:rsidR="00E62177" w:rsidRPr="00391579" w:rsidRDefault="00E62177" w:rsidP="001151CA">
      <w:pPr>
        <w:jc w:val="both"/>
        <w:rPr>
          <w:rFonts w:ascii="Garamond" w:hAnsi="Garamond"/>
          <w:color w:val="000000" w:themeColor="text1"/>
        </w:rPr>
      </w:pPr>
      <w:r w:rsidRPr="00391579">
        <w:rPr>
          <w:rFonts w:ascii="Garamond" w:hAnsi="Garamond"/>
          <w:color w:val="000000" w:themeColor="text1"/>
        </w:rPr>
        <w:t xml:space="preserve">Le projet </w:t>
      </w:r>
      <w:r w:rsidR="0086495F" w:rsidRPr="00246E82">
        <w:rPr>
          <w:rFonts w:ascii="Garamond" w:hAnsi="Garamond"/>
          <w:color w:val="000000" w:themeColor="text1"/>
        </w:rPr>
        <w:t>doctoral</w:t>
      </w:r>
      <w:r w:rsidR="00104F08" w:rsidRPr="00246E82">
        <w:rPr>
          <w:rFonts w:ascii="Garamond" w:hAnsi="Garamond"/>
          <w:color w:val="000000" w:themeColor="text1"/>
        </w:rPr>
        <w:t xml:space="preserve"> </w:t>
      </w:r>
      <w:r w:rsidRPr="00246E82">
        <w:rPr>
          <w:rFonts w:ascii="Garamond" w:hAnsi="Garamond"/>
          <w:color w:val="000000" w:themeColor="text1"/>
        </w:rPr>
        <w:t>devra s’inscrire étroitement</w:t>
      </w:r>
      <w:r w:rsidRPr="00391579">
        <w:rPr>
          <w:rFonts w:ascii="Garamond" w:hAnsi="Garamond"/>
          <w:color w:val="000000" w:themeColor="text1"/>
        </w:rPr>
        <w:t xml:space="preserve"> dans le périmètre thématique </w:t>
      </w:r>
      <w:r w:rsidR="00EB7A75" w:rsidRPr="00391579">
        <w:rPr>
          <w:rFonts w:ascii="Garamond" w:hAnsi="Garamond"/>
          <w:color w:val="000000" w:themeColor="text1"/>
        </w:rPr>
        <w:t xml:space="preserve">du programme “Les fabriques de l’antique”, et plus précisément dans l’un de ses trois axes </w:t>
      </w:r>
      <w:r w:rsidR="00391579">
        <w:rPr>
          <w:rFonts w:ascii="Garamond" w:hAnsi="Garamond"/>
          <w:color w:val="000000" w:themeColor="text1"/>
        </w:rPr>
        <w:t>de recherche</w:t>
      </w:r>
      <w:r w:rsidR="00EB7A75" w:rsidRPr="00391579">
        <w:rPr>
          <w:rFonts w:ascii="Garamond" w:hAnsi="Garamond"/>
          <w:color w:val="000000" w:themeColor="text1"/>
        </w:rPr>
        <w:t xml:space="preserve"> décrits </w:t>
      </w:r>
      <w:r w:rsidR="00104F08">
        <w:rPr>
          <w:rFonts w:ascii="Garamond" w:hAnsi="Garamond"/>
          <w:color w:val="000000" w:themeColor="text1"/>
        </w:rPr>
        <w:t>à la</w:t>
      </w:r>
      <w:r w:rsidR="00104F08" w:rsidRPr="00391579">
        <w:rPr>
          <w:rFonts w:ascii="Garamond" w:hAnsi="Garamond"/>
          <w:color w:val="000000" w:themeColor="text1"/>
        </w:rPr>
        <w:t xml:space="preserve"> </w:t>
      </w:r>
      <w:r w:rsidR="00EB7A75" w:rsidRPr="00391579">
        <w:rPr>
          <w:rFonts w:ascii="Garamond" w:hAnsi="Garamond"/>
          <w:color w:val="000000" w:themeColor="text1"/>
        </w:rPr>
        <w:t>fin d</w:t>
      </w:r>
      <w:r w:rsidR="00497C46">
        <w:rPr>
          <w:rFonts w:ascii="Garamond" w:hAnsi="Garamond"/>
          <w:color w:val="000000" w:themeColor="text1"/>
        </w:rPr>
        <w:t>u présent</w:t>
      </w:r>
      <w:r w:rsidR="00EB7A75" w:rsidRPr="00391579">
        <w:rPr>
          <w:rFonts w:ascii="Garamond" w:hAnsi="Garamond"/>
          <w:color w:val="000000" w:themeColor="text1"/>
        </w:rPr>
        <w:t xml:space="preserve"> appel. </w:t>
      </w:r>
    </w:p>
    <w:p w14:paraId="7D2F1653" w14:textId="77777777" w:rsidR="00217058" w:rsidRPr="00391579" w:rsidRDefault="00217058" w:rsidP="001151CA">
      <w:pPr>
        <w:jc w:val="both"/>
        <w:rPr>
          <w:rFonts w:ascii="Garamond" w:hAnsi="Garamond"/>
          <w:color w:val="000000" w:themeColor="text1"/>
        </w:rPr>
      </w:pPr>
    </w:p>
    <w:p w14:paraId="2F03A3B1" w14:textId="059C910D" w:rsidR="00217058" w:rsidRPr="00391579" w:rsidRDefault="006017E1" w:rsidP="001151CA">
      <w:pPr>
        <w:jc w:val="both"/>
        <w:rPr>
          <w:rFonts w:ascii="Garamond" w:hAnsi="Garamond"/>
          <w:color w:val="000000" w:themeColor="text1"/>
        </w:rPr>
      </w:pPr>
      <w:r>
        <w:rPr>
          <w:rFonts w:ascii="Garamond" w:hAnsi="Garamond"/>
          <w:color w:val="000000" w:themeColor="text1"/>
        </w:rPr>
        <w:t>Le/la bénéficiaire du contrat doctoral</w:t>
      </w:r>
      <w:r w:rsidR="00217058" w:rsidRPr="00391579">
        <w:rPr>
          <w:rFonts w:ascii="Garamond" w:hAnsi="Garamond"/>
          <w:color w:val="000000" w:themeColor="text1"/>
        </w:rPr>
        <w:t xml:space="preserve"> contribuer</w:t>
      </w:r>
      <w:r w:rsidR="00C033A4" w:rsidRPr="00391579">
        <w:rPr>
          <w:rFonts w:ascii="Garamond" w:hAnsi="Garamond"/>
          <w:color w:val="000000" w:themeColor="text1"/>
        </w:rPr>
        <w:t>a au programme “Les fabriques de l’antique” par sa recherche doctorale et</w:t>
      </w:r>
      <w:r w:rsidR="00217058" w:rsidRPr="00391579">
        <w:rPr>
          <w:rFonts w:ascii="Garamond" w:hAnsi="Garamond"/>
          <w:color w:val="000000" w:themeColor="text1"/>
        </w:rPr>
        <w:t xml:space="preserve"> </w:t>
      </w:r>
      <w:r w:rsidR="00104F08">
        <w:rPr>
          <w:rFonts w:ascii="Garamond" w:hAnsi="Garamond"/>
          <w:color w:val="000000" w:themeColor="text1"/>
        </w:rPr>
        <w:t>sa participation active</w:t>
      </w:r>
      <w:r w:rsidR="00104F08" w:rsidRPr="00391579">
        <w:rPr>
          <w:rFonts w:ascii="Garamond" w:hAnsi="Garamond"/>
          <w:color w:val="000000" w:themeColor="text1"/>
        </w:rPr>
        <w:t xml:space="preserve"> </w:t>
      </w:r>
      <w:r w:rsidR="00217058" w:rsidRPr="00391579">
        <w:rPr>
          <w:rFonts w:ascii="Garamond" w:hAnsi="Garamond"/>
          <w:color w:val="000000" w:themeColor="text1"/>
        </w:rPr>
        <w:t xml:space="preserve">aux activités </w:t>
      </w:r>
      <w:r w:rsidR="00C033A4" w:rsidRPr="00391579">
        <w:rPr>
          <w:rFonts w:ascii="Garamond" w:hAnsi="Garamond"/>
          <w:color w:val="000000" w:themeColor="text1"/>
        </w:rPr>
        <w:t>du programme (colloques, journées d’études, etc.)</w:t>
      </w:r>
      <w:r w:rsidR="00217058" w:rsidRPr="00391579">
        <w:rPr>
          <w:rFonts w:ascii="Garamond" w:hAnsi="Garamond"/>
          <w:color w:val="000000" w:themeColor="text1"/>
        </w:rPr>
        <w:t>.</w:t>
      </w:r>
      <w:r w:rsidR="00910B1A" w:rsidRPr="00391579">
        <w:rPr>
          <w:rFonts w:ascii="Garamond" w:hAnsi="Garamond"/>
          <w:color w:val="000000" w:themeColor="text1"/>
        </w:rPr>
        <w:t xml:space="preserve"> Un intérêt pour </w:t>
      </w:r>
      <w:r w:rsidR="00622ECC">
        <w:rPr>
          <w:rFonts w:ascii="Garamond" w:hAnsi="Garamond"/>
          <w:color w:val="000000" w:themeColor="text1"/>
        </w:rPr>
        <w:t>l’échange</w:t>
      </w:r>
      <w:r w:rsidR="00910B1A" w:rsidRPr="00391579">
        <w:rPr>
          <w:rFonts w:ascii="Garamond" w:hAnsi="Garamond"/>
          <w:color w:val="000000" w:themeColor="text1"/>
        </w:rPr>
        <w:t xml:space="preserve"> interdisciplinaire</w:t>
      </w:r>
      <w:r w:rsidR="00104F08">
        <w:rPr>
          <w:rFonts w:ascii="Garamond" w:hAnsi="Garamond"/>
          <w:color w:val="000000" w:themeColor="text1"/>
        </w:rPr>
        <w:t xml:space="preserve"> </w:t>
      </w:r>
      <w:r w:rsidR="00104F08" w:rsidRPr="001E6BEA">
        <w:rPr>
          <w:rFonts w:ascii="Garamond" w:hAnsi="Garamond"/>
          <w:color w:val="000000" w:themeColor="text1"/>
        </w:rPr>
        <w:t>et comparatif</w:t>
      </w:r>
      <w:r w:rsidR="00910B1A" w:rsidRPr="00391579">
        <w:rPr>
          <w:rFonts w:ascii="Garamond" w:hAnsi="Garamond"/>
          <w:color w:val="000000" w:themeColor="text1"/>
        </w:rPr>
        <w:t xml:space="preserve"> est requis. </w:t>
      </w:r>
      <w:r w:rsidR="00221079">
        <w:rPr>
          <w:rFonts w:ascii="Garamond" w:hAnsi="Garamond"/>
          <w:color w:val="000000" w:themeColor="text1"/>
        </w:rPr>
        <w:t xml:space="preserve">À l’issue de </w:t>
      </w:r>
      <w:r w:rsidR="00A904C2">
        <w:rPr>
          <w:rFonts w:ascii="Garamond" w:hAnsi="Garamond"/>
          <w:color w:val="000000" w:themeColor="text1"/>
        </w:rPr>
        <w:t>sa soutenance</w:t>
      </w:r>
      <w:r w:rsidR="00221079">
        <w:rPr>
          <w:rFonts w:ascii="Garamond" w:hAnsi="Garamond"/>
          <w:color w:val="000000" w:themeColor="text1"/>
        </w:rPr>
        <w:t xml:space="preserve">, </w:t>
      </w:r>
      <w:r w:rsidR="00A904C2">
        <w:rPr>
          <w:rFonts w:ascii="Garamond" w:hAnsi="Garamond"/>
          <w:color w:val="000000" w:themeColor="text1"/>
        </w:rPr>
        <w:t>la thèse fera l’objet d’une publication monographique</w:t>
      </w:r>
      <w:r w:rsidR="00221079">
        <w:rPr>
          <w:rFonts w:ascii="Garamond" w:hAnsi="Garamond"/>
          <w:color w:val="000000" w:themeColor="text1"/>
        </w:rPr>
        <w:t xml:space="preserve"> avec le soutien du programme.</w:t>
      </w:r>
      <w:r w:rsidR="00217058" w:rsidRPr="00391579">
        <w:rPr>
          <w:rFonts w:ascii="Garamond" w:hAnsi="Garamond"/>
          <w:color w:val="000000" w:themeColor="text1"/>
        </w:rPr>
        <w:t xml:space="preserve"> </w:t>
      </w:r>
    </w:p>
    <w:p w14:paraId="049AA4C6" w14:textId="77777777" w:rsidR="0038632D" w:rsidRPr="00391579" w:rsidRDefault="0038632D" w:rsidP="001151CA">
      <w:pPr>
        <w:jc w:val="both"/>
        <w:rPr>
          <w:rFonts w:ascii="Garamond" w:hAnsi="Garamond"/>
          <w:color w:val="000000" w:themeColor="text1"/>
        </w:rPr>
      </w:pPr>
    </w:p>
    <w:p w14:paraId="190DF53C" w14:textId="004D83B1" w:rsidR="00A34DEF" w:rsidRPr="00391579" w:rsidRDefault="00A34DEF" w:rsidP="001151CA">
      <w:pPr>
        <w:pStyle w:val="NormalWeb"/>
        <w:spacing w:before="0" w:beforeAutospacing="0" w:after="0" w:afterAutospacing="0"/>
        <w:jc w:val="both"/>
        <w:rPr>
          <w:rFonts w:ascii="Garamond" w:hAnsi="Garamond"/>
          <w:bCs/>
          <w:color w:val="000000" w:themeColor="text1"/>
        </w:rPr>
      </w:pPr>
      <w:r w:rsidRPr="00391579">
        <w:rPr>
          <w:rStyle w:val="lev"/>
          <w:rFonts w:ascii="Garamond" w:eastAsiaTheme="majorEastAsia" w:hAnsi="Garamond"/>
          <w:b w:val="0"/>
          <w:color w:val="000000" w:themeColor="text1"/>
        </w:rPr>
        <w:t>Le contrat doctoral</w:t>
      </w:r>
      <w:r w:rsidRPr="00391579">
        <w:rPr>
          <w:rFonts w:ascii="Garamond" w:hAnsi="Garamond"/>
          <w:color w:val="000000" w:themeColor="text1"/>
        </w:rPr>
        <w:t xml:space="preserve"> est un contrat à durée déterminée passé entre </w:t>
      </w:r>
      <w:r w:rsidR="00CC0CCA">
        <w:rPr>
          <w:rFonts w:ascii="Garamond" w:hAnsi="Garamond"/>
          <w:color w:val="000000" w:themeColor="text1"/>
        </w:rPr>
        <w:t>un établissement-membre de PSL</w:t>
      </w:r>
      <w:r w:rsidR="002439B7">
        <w:rPr>
          <w:rStyle w:val="Appelnotedebasdep"/>
          <w:rFonts w:ascii="Garamond" w:hAnsi="Garamond"/>
          <w:color w:val="000000" w:themeColor="text1"/>
        </w:rPr>
        <w:footnoteReference w:id="1"/>
      </w:r>
      <w:r w:rsidR="00CC0CCA" w:rsidRPr="00391579">
        <w:rPr>
          <w:rFonts w:ascii="Garamond" w:hAnsi="Garamond"/>
          <w:color w:val="000000" w:themeColor="text1"/>
        </w:rPr>
        <w:t xml:space="preserve"> </w:t>
      </w:r>
      <w:r w:rsidRPr="00391579">
        <w:rPr>
          <w:rFonts w:ascii="Garamond" w:hAnsi="Garamond"/>
          <w:color w:val="000000" w:themeColor="text1"/>
        </w:rPr>
        <w:t>et un</w:t>
      </w:r>
      <w:r w:rsidR="003107AE">
        <w:rPr>
          <w:rFonts w:ascii="Garamond" w:hAnsi="Garamond"/>
          <w:color w:val="000000" w:themeColor="text1"/>
        </w:rPr>
        <w:t>(e)</w:t>
      </w:r>
      <w:r w:rsidRPr="00391579">
        <w:rPr>
          <w:rFonts w:ascii="Garamond" w:hAnsi="Garamond"/>
          <w:color w:val="000000" w:themeColor="text1"/>
        </w:rPr>
        <w:t xml:space="preserve"> doctorant</w:t>
      </w:r>
      <w:r w:rsidR="003107AE">
        <w:rPr>
          <w:rFonts w:ascii="Garamond" w:hAnsi="Garamond"/>
          <w:color w:val="000000" w:themeColor="text1"/>
        </w:rPr>
        <w:t>(e)</w:t>
      </w:r>
      <w:r w:rsidRPr="00391579">
        <w:rPr>
          <w:rFonts w:ascii="Garamond" w:hAnsi="Garamond"/>
          <w:color w:val="000000" w:themeColor="text1"/>
        </w:rPr>
        <w:t xml:space="preserve"> afin de permettre à ce</w:t>
      </w:r>
      <w:r w:rsidR="001E6BEA">
        <w:rPr>
          <w:rFonts w:ascii="Garamond" w:hAnsi="Garamond"/>
          <w:color w:val="000000" w:themeColor="text1"/>
        </w:rPr>
        <w:t>(</w:t>
      </w:r>
      <w:proofErr w:type="spellStart"/>
      <w:r w:rsidR="001E6BEA">
        <w:rPr>
          <w:rFonts w:ascii="Garamond" w:hAnsi="Garamond"/>
          <w:color w:val="000000" w:themeColor="text1"/>
        </w:rPr>
        <w:t>tte</w:t>
      </w:r>
      <w:proofErr w:type="spellEnd"/>
      <w:r w:rsidR="001E6BEA">
        <w:rPr>
          <w:rFonts w:ascii="Garamond" w:hAnsi="Garamond"/>
          <w:color w:val="000000" w:themeColor="text1"/>
        </w:rPr>
        <w:t>)</w:t>
      </w:r>
      <w:r w:rsidRPr="00391579">
        <w:rPr>
          <w:rFonts w:ascii="Garamond" w:hAnsi="Garamond"/>
          <w:color w:val="000000" w:themeColor="text1"/>
        </w:rPr>
        <w:t xml:space="preserve"> dernier</w:t>
      </w:r>
      <w:r w:rsidR="00451B51">
        <w:rPr>
          <w:rFonts w:ascii="Garamond" w:hAnsi="Garamond"/>
          <w:color w:val="000000" w:themeColor="text1"/>
        </w:rPr>
        <w:t>(e)</w:t>
      </w:r>
      <w:r w:rsidR="001E6BEA">
        <w:rPr>
          <w:rFonts w:ascii="Garamond" w:hAnsi="Garamond"/>
          <w:color w:val="000000" w:themeColor="text1"/>
        </w:rPr>
        <w:t xml:space="preserve"> </w:t>
      </w:r>
      <w:r w:rsidRPr="00391579">
        <w:rPr>
          <w:rFonts w:ascii="Garamond" w:hAnsi="Garamond"/>
          <w:color w:val="000000" w:themeColor="text1"/>
        </w:rPr>
        <w:t xml:space="preserve">de se consacrer pleinement à </w:t>
      </w:r>
      <w:r w:rsidR="003107AE">
        <w:rPr>
          <w:rFonts w:ascii="Garamond" w:hAnsi="Garamond"/>
          <w:color w:val="000000" w:themeColor="text1"/>
        </w:rPr>
        <w:t>un travail de recherche approfondi et original, aboutissant à la production d’une thèse</w:t>
      </w:r>
      <w:r w:rsidRPr="00391579">
        <w:rPr>
          <w:rFonts w:ascii="Garamond" w:hAnsi="Garamond"/>
          <w:color w:val="000000" w:themeColor="text1"/>
        </w:rPr>
        <w:t>. Sa durée est de trois ans.</w:t>
      </w:r>
      <w:r w:rsidR="005321B2" w:rsidRPr="00391579">
        <w:rPr>
          <w:rFonts w:ascii="Garamond" w:hAnsi="Garamond"/>
          <w:color w:val="000000" w:themeColor="text1"/>
        </w:rPr>
        <w:t xml:space="preserve"> L</w:t>
      </w:r>
      <w:r w:rsidRPr="00391579">
        <w:rPr>
          <w:rFonts w:ascii="Garamond" w:hAnsi="Garamond"/>
          <w:color w:val="000000" w:themeColor="text1"/>
        </w:rPr>
        <w:t xml:space="preserve">a rémunération mensuelle minimale est de </w:t>
      </w:r>
      <w:r w:rsidRPr="00391579">
        <w:rPr>
          <w:rFonts w:ascii="Garamond" w:hAnsi="Garamond"/>
          <w:bCs/>
          <w:color w:val="000000" w:themeColor="text1"/>
        </w:rPr>
        <w:t xml:space="preserve">2100 € brut.  </w:t>
      </w:r>
    </w:p>
    <w:p w14:paraId="2556AD36" w14:textId="77777777" w:rsidR="005321B2" w:rsidRDefault="005321B2" w:rsidP="001151CA">
      <w:pPr>
        <w:pStyle w:val="NormalWeb"/>
        <w:spacing w:before="0" w:beforeAutospacing="0" w:after="0" w:afterAutospacing="0"/>
        <w:jc w:val="both"/>
        <w:rPr>
          <w:rFonts w:ascii="Garamond" w:hAnsi="Garamond"/>
          <w:bCs/>
          <w:color w:val="000000" w:themeColor="text1"/>
        </w:rPr>
      </w:pPr>
    </w:p>
    <w:p w14:paraId="35102BFE" w14:textId="587E708E" w:rsidR="00C65D67" w:rsidRPr="00391579" w:rsidRDefault="00C65D67" w:rsidP="001151CA">
      <w:pPr>
        <w:jc w:val="both"/>
        <w:rPr>
          <w:rFonts w:ascii="Garamond" w:hAnsi="Garamond"/>
          <w:color w:val="000000" w:themeColor="text1"/>
        </w:rPr>
      </w:pPr>
      <w:r w:rsidRPr="00391579">
        <w:rPr>
          <w:rFonts w:ascii="Garamond" w:hAnsi="Garamond"/>
          <w:color w:val="000000" w:themeColor="text1"/>
        </w:rPr>
        <w:t>L’inscription se fera</w:t>
      </w:r>
      <w:r w:rsidR="0094444F">
        <w:rPr>
          <w:rFonts w:ascii="Garamond" w:hAnsi="Garamond"/>
          <w:color w:val="000000" w:themeColor="text1"/>
        </w:rPr>
        <w:t xml:space="preserve"> sous la direction d’un enseignant-chercheur </w:t>
      </w:r>
      <w:r w:rsidR="00E348A2">
        <w:rPr>
          <w:rFonts w:ascii="Garamond" w:hAnsi="Garamond"/>
          <w:color w:val="000000" w:themeColor="text1"/>
        </w:rPr>
        <w:t xml:space="preserve">ou chercheur </w:t>
      </w:r>
      <w:r w:rsidR="0094444F">
        <w:rPr>
          <w:rFonts w:ascii="Garamond" w:hAnsi="Garamond"/>
          <w:color w:val="000000" w:themeColor="text1"/>
        </w:rPr>
        <w:t>de l’Université PSL titulaire de la HDR</w:t>
      </w:r>
      <w:r w:rsidR="00A00D7B">
        <w:rPr>
          <w:rFonts w:ascii="Garamond" w:hAnsi="Garamond"/>
          <w:color w:val="000000" w:themeColor="text1"/>
        </w:rPr>
        <w:t xml:space="preserve">, </w:t>
      </w:r>
      <w:r w:rsidR="00A00D7B" w:rsidRPr="00391579">
        <w:rPr>
          <w:rFonts w:ascii="Garamond" w:hAnsi="Garamond"/>
          <w:color w:val="000000" w:themeColor="text1"/>
        </w:rPr>
        <w:t xml:space="preserve">dans l’une des écoles doctorales </w:t>
      </w:r>
      <w:r w:rsidR="00DA1B91">
        <w:rPr>
          <w:rFonts w:ascii="Garamond" w:hAnsi="Garamond"/>
          <w:color w:val="000000" w:themeColor="text1"/>
        </w:rPr>
        <w:t>impliquées dans le</w:t>
      </w:r>
      <w:r w:rsidR="00DA1B91" w:rsidRPr="00391579">
        <w:rPr>
          <w:rFonts w:ascii="Garamond" w:hAnsi="Garamond"/>
          <w:color w:val="000000" w:themeColor="text1"/>
        </w:rPr>
        <w:t xml:space="preserve"> </w:t>
      </w:r>
      <w:r w:rsidR="00A00D7B" w:rsidRPr="00391579">
        <w:rPr>
          <w:rFonts w:ascii="Garamond" w:hAnsi="Garamond"/>
          <w:color w:val="000000" w:themeColor="text1"/>
        </w:rPr>
        <w:t>programme</w:t>
      </w:r>
      <w:r w:rsidRPr="00391579">
        <w:rPr>
          <w:rFonts w:ascii="Garamond" w:hAnsi="Garamond"/>
          <w:color w:val="000000" w:themeColor="text1"/>
        </w:rPr>
        <w:t>.</w:t>
      </w:r>
      <w:r w:rsidR="0094444F">
        <w:rPr>
          <w:rFonts w:ascii="Garamond" w:hAnsi="Garamond"/>
          <w:color w:val="000000" w:themeColor="text1"/>
        </w:rPr>
        <w:t xml:space="preserve"> </w:t>
      </w:r>
      <w:r w:rsidR="00976B7A">
        <w:rPr>
          <w:rFonts w:ascii="Garamond" w:hAnsi="Garamond"/>
          <w:color w:val="000000" w:themeColor="text1"/>
        </w:rPr>
        <w:t>L</w:t>
      </w:r>
      <w:r w:rsidR="0094444F">
        <w:rPr>
          <w:rFonts w:ascii="Garamond" w:hAnsi="Garamond"/>
          <w:color w:val="000000" w:themeColor="text1"/>
        </w:rPr>
        <w:t>e/</w:t>
      </w:r>
      <w:r w:rsidR="001E6BEA">
        <w:rPr>
          <w:rFonts w:ascii="Garamond" w:hAnsi="Garamond"/>
          <w:color w:val="000000" w:themeColor="text1"/>
        </w:rPr>
        <w:t xml:space="preserve">la </w:t>
      </w:r>
      <w:r w:rsidR="0094444F">
        <w:rPr>
          <w:rFonts w:ascii="Garamond" w:hAnsi="Garamond"/>
          <w:color w:val="000000" w:themeColor="text1"/>
        </w:rPr>
        <w:t>lauréat(e) sera rattaché</w:t>
      </w:r>
      <w:r w:rsidR="00F776FF">
        <w:rPr>
          <w:rFonts w:ascii="Garamond" w:hAnsi="Garamond"/>
          <w:color w:val="000000" w:themeColor="text1"/>
        </w:rPr>
        <w:t>(e)</w:t>
      </w:r>
      <w:r w:rsidR="0094444F">
        <w:rPr>
          <w:rFonts w:ascii="Garamond" w:hAnsi="Garamond"/>
          <w:color w:val="000000" w:themeColor="text1"/>
        </w:rPr>
        <w:t xml:space="preserve"> à l’un des laboratoires de recherche suivants : </w:t>
      </w:r>
      <w:hyperlink r:id="rId7" w:history="1">
        <w:proofErr w:type="spellStart"/>
        <w:r w:rsidR="004F16E3" w:rsidRPr="007F45D2">
          <w:rPr>
            <w:rStyle w:val="Lienhypertexte"/>
            <w:rFonts w:ascii="Garamond" w:hAnsi="Garamond"/>
          </w:rPr>
          <w:t>A</w:t>
        </w:r>
        <w:r w:rsidR="007F45D2" w:rsidRPr="007F45D2">
          <w:rPr>
            <w:rStyle w:val="Lienhypertexte"/>
            <w:rFonts w:ascii="Garamond" w:hAnsi="Garamond"/>
          </w:rPr>
          <w:t>n</w:t>
        </w:r>
        <w:r w:rsidR="004F16E3" w:rsidRPr="007F45D2">
          <w:rPr>
            <w:rStyle w:val="Lienhypertexte"/>
            <w:rFonts w:ascii="Garamond" w:hAnsi="Garamond"/>
          </w:rPr>
          <w:t>H</w:t>
        </w:r>
        <w:r w:rsidR="007F45D2" w:rsidRPr="007F45D2">
          <w:rPr>
            <w:rStyle w:val="Lienhypertexte"/>
            <w:rFonts w:ascii="Garamond" w:hAnsi="Garamond"/>
          </w:rPr>
          <w:t>i</w:t>
        </w:r>
        <w:r w:rsidR="004F16E3" w:rsidRPr="007F45D2">
          <w:rPr>
            <w:rStyle w:val="Lienhypertexte"/>
            <w:rFonts w:ascii="Garamond" w:hAnsi="Garamond"/>
          </w:rPr>
          <w:t>MA</w:t>
        </w:r>
        <w:proofErr w:type="spellEnd"/>
      </w:hyperlink>
      <w:r w:rsidR="007F45D2">
        <w:rPr>
          <w:rFonts w:ascii="Garamond" w:hAnsi="Garamond"/>
          <w:color w:val="000000" w:themeColor="text1"/>
        </w:rPr>
        <w:t xml:space="preserve"> (UMR 8210)</w:t>
      </w:r>
      <w:r w:rsidR="004F16E3">
        <w:rPr>
          <w:rFonts w:ascii="Garamond" w:hAnsi="Garamond"/>
          <w:color w:val="000000" w:themeColor="text1"/>
        </w:rPr>
        <w:t xml:space="preserve">, </w:t>
      </w:r>
      <w:hyperlink r:id="rId8" w:history="1">
        <w:proofErr w:type="spellStart"/>
        <w:r w:rsidR="004F16E3" w:rsidRPr="007F45D2">
          <w:rPr>
            <w:rStyle w:val="Lienhypertexte"/>
            <w:rFonts w:ascii="Garamond" w:hAnsi="Garamond"/>
          </w:rPr>
          <w:t>AOrOc</w:t>
        </w:r>
        <w:proofErr w:type="spellEnd"/>
      </w:hyperlink>
      <w:r w:rsidR="007F45D2">
        <w:rPr>
          <w:rFonts w:ascii="Garamond" w:hAnsi="Garamond"/>
          <w:color w:val="000000" w:themeColor="text1"/>
        </w:rPr>
        <w:t xml:space="preserve"> (UMR8546)</w:t>
      </w:r>
      <w:r w:rsidR="004F16E3">
        <w:rPr>
          <w:rFonts w:ascii="Garamond" w:hAnsi="Garamond"/>
          <w:color w:val="000000" w:themeColor="text1"/>
        </w:rPr>
        <w:t xml:space="preserve">, </w:t>
      </w:r>
      <w:hyperlink r:id="rId9" w:history="1">
        <w:proofErr w:type="spellStart"/>
        <w:r w:rsidR="004F16E3" w:rsidRPr="007F45D2">
          <w:rPr>
            <w:rStyle w:val="Lienhypertexte"/>
            <w:rFonts w:ascii="Garamond" w:hAnsi="Garamond"/>
          </w:rPr>
          <w:t>Archéosciences</w:t>
        </w:r>
        <w:proofErr w:type="spellEnd"/>
        <w:r w:rsidR="004F16E3" w:rsidRPr="007F45D2">
          <w:rPr>
            <w:rStyle w:val="Lienhypertexte"/>
            <w:rFonts w:ascii="Garamond" w:hAnsi="Garamond"/>
          </w:rPr>
          <w:t>-Bordeaux</w:t>
        </w:r>
      </w:hyperlink>
      <w:r w:rsidR="007F45D2">
        <w:rPr>
          <w:rFonts w:ascii="Garamond" w:hAnsi="Garamond"/>
          <w:color w:val="000000" w:themeColor="text1"/>
        </w:rPr>
        <w:t xml:space="preserve"> (UMR6034)</w:t>
      </w:r>
      <w:r w:rsidR="004F16E3">
        <w:rPr>
          <w:rFonts w:ascii="Garamond" w:hAnsi="Garamond"/>
          <w:color w:val="000000" w:themeColor="text1"/>
        </w:rPr>
        <w:t xml:space="preserve">, </w:t>
      </w:r>
      <w:hyperlink r:id="rId10" w:history="1">
        <w:r w:rsidR="004F16E3" w:rsidRPr="007F45D2">
          <w:rPr>
            <w:rStyle w:val="Lienhypertexte"/>
            <w:rFonts w:ascii="Garamond" w:hAnsi="Garamond"/>
          </w:rPr>
          <w:t>CRCAO</w:t>
        </w:r>
      </w:hyperlink>
      <w:r w:rsidR="007F45D2">
        <w:rPr>
          <w:rFonts w:ascii="Garamond" w:hAnsi="Garamond"/>
          <w:color w:val="000000" w:themeColor="text1"/>
        </w:rPr>
        <w:t xml:space="preserve"> (UMR 8155)</w:t>
      </w:r>
      <w:r w:rsidR="004F16E3">
        <w:rPr>
          <w:rFonts w:ascii="Garamond" w:hAnsi="Garamond"/>
          <w:color w:val="000000" w:themeColor="text1"/>
        </w:rPr>
        <w:t xml:space="preserve">, </w:t>
      </w:r>
      <w:hyperlink r:id="rId11" w:history="1">
        <w:r w:rsidR="004F16E3" w:rsidRPr="00920ED2">
          <w:rPr>
            <w:rStyle w:val="Lienhypertexte"/>
            <w:rFonts w:ascii="Garamond" w:hAnsi="Garamond"/>
          </w:rPr>
          <w:t>Centre Jean Pépin</w:t>
        </w:r>
      </w:hyperlink>
      <w:r w:rsidR="00920ED2">
        <w:rPr>
          <w:rFonts w:ascii="Garamond" w:hAnsi="Garamond"/>
          <w:color w:val="000000" w:themeColor="text1"/>
        </w:rPr>
        <w:t xml:space="preserve"> (UMR 8230)</w:t>
      </w:r>
      <w:r w:rsidR="004F16E3">
        <w:rPr>
          <w:rFonts w:ascii="Garamond" w:hAnsi="Garamond"/>
          <w:color w:val="000000" w:themeColor="text1"/>
        </w:rPr>
        <w:t xml:space="preserve">, </w:t>
      </w:r>
      <w:hyperlink r:id="rId12" w:history="1">
        <w:r w:rsidR="004F16E3" w:rsidRPr="00920ED2">
          <w:rPr>
            <w:rStyle w:val="Lienhypertexte"/>
            <w:rFonts w:ascii="Garamond" w:hAnsi="Garamond"/>
          </w:rPr>
          <w:t>GREI</w:t>
        </w:r>
      </w:hyperlink>
      <w:r w:rsidR="00920ED2">
        <w:rPr>
          <w:rFonts w:ascii="Garamond" w:hAnsi="Garamond"/>
          <w:color w:val="000000" w:themeColor="text1"/>
        </w:rPr>
        <w:t xml:space="preserve"> (EA2120)</w:t>
      </w:r>
      <w:r w:rsidR="004F16E3">
        <w:rPr>
          <w:rFonts w:ascii="Garamond" w:hAnsi="Garamond"/>
          <w:color w:val="000000" w:themeColor="text1"/>
        </w:rPr>
        <w:t xml:space="preserve">, </w:t>
      </w:r>
      <w:hyperlink r:id="rId13" w:history="1">
        <w:r w:rsidR="004F16E3" w:rsidRPr="00CA0C32">
          <w:rPr>
            <w:rStyle w:val="Lienhypertexte"/>
            <w:rFonts w:ascii="Garamond" w:hAnsi="Garamond"/>
          </w:rPr>
          <w:t>GSRL</w:t>
        </w:r>
      </w:hyperlink>
      <w:r w:rsidR="00CA0C32">
        <w:rPr>
          <w:rFonts w:ascii="Garamond" w:hAnsi="Garamond"/>
          <w:color w:val="000000" w:themeColor="text1"/>
        </w:rPr>
        <w:t xml:space="preserve"> (UMR8582)</w:t>
      </w:r>
      <w:r w:rsidR="004F16E3">
        <w:rPr>
          <w:rFonts w:ascii="Garamond" w:hAnsi="Garamond"/>
          <w:color w:val="000000" w:themeColor="text1"/>
        </w:rPr>
        <w:t xml:space="preserve">, </w:t>
      </w:r>
      <w:hyperlink r:id="rId14" w:history="1">
        <w:r w:rsidR="004F16E3" w:rsidRPr="002F6350">
          <w:rPr>
            <w:rStyle w:val="Lienhypertexte"/>
            <w:rFonts w:ascii="Garamond" w:hAnsi="Garamond"/>
          </w:rPr>
          <w:t>LEM</w:t>
        </w:r>
      </w:hyperlink>
      <w:r w:rsidR="002F6350">
        <w:rPr>
          <w:rFonts w:ascii="Garamond" w:hAnsi="Garamond"/>
          <w:color w:val="000000" w:themeColor="text1"/>
        </w:rPr>
        <w:t xml:space="preserve"> (UMR 8584)</w:t>
      </w:r>
      <w:r w:rsidR="004F16E3">
        <w:rPr>
          <w:rFonts w:ascii="Garamond" w:hAnsi="Garamond"/>
          <w:color w:val="000000" w:themeColor="text1"/>
        </w:rPr>
        <w:t>,</w:t>
      </w:r>
      <w:r w:rsidR="007045A2">
        <w:rPr>
          <w:rFonts w:ascii="Garamond" w:hAnsi="Garamond"/>
          <w:color w:val="000000" w:themeColor="text1"/>
        </w:rPr>
        <w:t xml:space="preserve"> </w:t>
      </w:r>
      <w:hyperlink r:id="rId15" w:history="1">
        <w:r w:rsidR="007045A2" w:rsidRPr="007045A2">
          <w:rPr>
            <w:rStyle w:val="Lienhypertexte"/>
            <w:rFonts w:ascii="Garamond" w:hAnsi="Garamond"/>
          </w:rPr>
          <w:t>LTE</w:t>
        </w:r>
      </w:hyperlink>
      <w:r w:rsidR="007045A2">
        <w:rPr>
          <w:rFonts w:ascii="Garamond" w:hAnsi="Garamond"/>
          <w:color w:val="000000" w:themeColor="text1"/>
        </w:rPr>
        <w:t xml:space="preserve"> (UMR 8255)</w:t>
      </w:r>
      <w:r w:rsidR="0005438D">
        <w:rPr>
          <w:rFonts w:ascii="Garamond" w:hAnsi="Garamond"/>
          <w:color w:val="000000" w:themeColor="text1"/>
        </w:rPr>
        <w:t>,</w:t>
      </w:r>
      <w:r w:rsidR="004F16E3">
        <w:rPr>
          <w:rFonts w:ascii="Garamond" w:hAnsi="Garamond"/>
          <w:color w:val="000000" w:themeColor="text1"/>
        </w:rPr>
        <w:t xml:space="preserve"> </w:t>
      </w:r>
      <w:hyperlink r:id="rId16" w:history="1">
        <w:r w:rsidR="004F16E3" w:rsidRPr="002F6350">
          <w:rPr>
            <w:rStyle w:val="Lienhypertexte"/>
            <w:rFonts w:ascii="Garamond" w:hAnsi="Garamond"/>
          </w:rPr>
          <w:t>Orient et Méditerranée</w:t>
        </w:r>
      </w:hyperlink>
      <w:r w:rsidR="002F6350">
        <w:rPr>
          <w:rFonts w:ascii="Garamond" w:hAnsi="Garamond"/>
          <w:color w:val="000000" w:themeColor="text1"/>
        </w:rPr>
        <w:t xml:space="preserve"> (UMR 8167)</w:t>
      </w:r>
      <w:r w:rsidR="004F16E3">
        <w:rPr>
          <w:rFonts w:ascii="Garamond" w:hAnsi="Garamond"/>
          <w:color w:val="000000" w:themeColor="text1"/>
        </w:rPr>
        <w:t xml:space="preserve">, </w:t>
      </w:r>
      <w:hyperlink r:id="rId17" w:history="1">
        <w:r w:rsidR="004F16E3" w:rsidRPr="002F6350">
          <w:rPr>
            <w:rStyle w:val="Lienhypertexte"/>
            <w:rFonts w:ascii="Garamond" w:hAnsi="Garamond"/>
          </w:rPr>
          <w:t>SAPRAT</w:t>
        </w:r>
      </w:hyperlink>
      <w:r w:rsidR="002F6350">
        <w:rPr>
          <w:rFonts w:ascii="Garamond" w:hAnsi="Garamond"/>
          <w:color w:val="000000" w:themeColor="text1"/>
        </w:rPr>
        <w:t xml:space="preserve"> (EA 4116)</w:t>
      </w:r>
      <w:r w:rsidR="00754825">
        <w:rPr>
          <w:rFonts w:ascii="Garamond" w:hAnsi="Garamond"/>
          <w:color w:val="000000" w:themeColor="text1"/>
        </w:rPr>
        <w:t>.</w:t>
      </w:r>
    </w:p>
    <w:p w14:paraId="48747721" w14:textId="77777777" w:rsidR="00C65D67" w:rsidRPr="00391579" w:rsidRDefault="00C65D67" w:rsidP="001151CA">
      <w:pPr>
        <w:jc w:val="both"/>
        <w:rPr>
          <w:rFonts w:ascii="Garamond" w:hAnsi="Garamond"/>
          <w:color w:val="000000" w:themeColor="text1"/>
        </w:rPr>
      </w:pPr>
    </w:p>
    <w:p w14:paraId="6DCE2D1D" w14:textId="7D5567D3" w:rsidR="005321B2" w:rsidRPr="00391579" w:rsidRDefault="005321B2" w:rsidP="005321B2">
      <w:pPr>
        <w:pStyle w:val="NormalWeb"/>
        <w:spacing w:before="0" w:beforeAutospacing="0" w:after="0" w:afterAutospacing="0"/>
        <w:rPr>
          <w:rFonts w:ascii="Garamond" w:hAnsi="Garamond"/>
          <w:bCs/>
          <w:color w:val="000000" w:themeColor="text1"/>
        </w:rPr>
      </w:pPr>
      <w:r w:rsidRPr="00391579">
        <w:rPr>
          <w:rFonts w:ascii="Garamond" w:hAnsi="Garamond"/>
          <w:bCs/>
          <w:color w:val="000000" w:themeColor="text1"/>
        </w:rPr>
        <w:t xml:space="preserve">Contact : </w:t>
      </w:r>
      <w:hyperlink r:id="rId18" w:history="1">
        <w:r w:rsidR="00AB4FF7" w:rsidRPr="00391579">
          <w:rPr>
            <w:rStyle w:val="Lienhypertexte"/>
            <w:rFonts w:ascii="Garamond" w:hAnsi="Garamond"/>
            <w:bCs/>
          </w:rPr>
          <w:t>contact@fab-antique.fr</w:t>
        </w:r>
      </w:hyperlink>
    </w:p>
    <w:p w14:paraId="48A3FF5C" w14:textId="77777777" w:rsidR="00AB4FF7" w:rsidRPr="00391579" w:rsidRDefault="00AB4FF7" w:rsidP="005321B2">
      <w:pPr>
        <w:pStyle w:val="NormalWeb"/>
        <w:spacing w:before="0" w:beforeAutospacing="0" w:after="0" w:afterAutospacing="0"/>
        <w:rPr>
          <w:rFonts w:ascii="Garamond" w:hAnsi="Garamond"/>
          <w:bCs/>
          <w:color w:val="000000" w:themeColor="text1"/>
        </w:rPr>
      </w:pPr>
    </w:p>
    <w:p w14:paraId="06DA9E6D" w14:textId="77777777" w:rsidR="00AB4FF7" w:rsidRDefault="00AB4FF7" w:rsidP="00A34DEF">
      <w:pPr>
        <w:pStyle w:val="NormalWeb"/>
        <w:spacing w:before="0" w:beforeAutospacing="0" w:after="0" w:afterAutospacing="0"/>
        <w:rPr>
          <w:rFonts w:ascii="Garamond" w:hAnsi="Garamond"/>
          <w:b/>
          <w:bCs/>
          <w:color w:val="000000" w:themeColor="text1"/>
        </w:rPr>
      </w:pPr>
    </w:p>
    <w:p w14:paraId="06A67C58" w14:textId="77777777" w:rsidR="00280DAE" w:rsidRDefault="00280DAE" w:rsidP="00A34DEF">
      <w:pPr>
        <w:pStyle w:val="NormalWeb"/>
        <w:spacing w:before="0" w:beforeAutospacing="0" w:after="0" w:afterAutospacing="0"/>
        <w:rPr>
          <w:rFonts w:ascii="Garamond" w:hAnsi="Garamond"/>
          <w:b/>
          <w:bCs/>
          <w:color w:val="000000" w:themeColor="text1"/>
        </w:rPr>
      </w:pPr>
    </w:p>
    <w:p w14:paraId="6FEE0BEE" w14:textId="77777777" w:rsidR="00280DAE" w:rsidRPr="00391579" w:rsidRDefault="00280DAE" w:rsidP="00A34DEF">
      <w:pPr>
        <w:pStyle w:val="NormalWeb"/>
        <w:spacing w:before="0" w:beforeAutospacing="0" w:after="0" w:afterAutospacing="0"/>
        <w:rPr>
          <w:rFonts w:ascii="Garamond" w:hAnsi="Garamond"/>
          <w:b/>
          <w:bCs/>
          <w:color w:val="000000" w:themeColor="text1"/>
        </w:rPr>
      </w:pPr>
    </w:p>
    <w:p w14:paraId="6ED5BBF2" w14:textId="03C0F24D" w:rsidR="00A34DEF" w:rsidRPr="00391579" w:rsidRDefault="00A34DEF" w:rsidP="00A34DEF">
      <w:pPr>
        <w:pStyle w:val="NormalWeb"/>
        <w:spacing w:before="0" w:beforeAutospacing="0" w:after="0" w:afterAutospacing="0"/>
        <w:rPr>
          <w:rStyle w:val="lev"/>
          <w:rFonts w:ascii="Garamond" w:eastAsiaTheme="majorEastAsia" w:hAnsi="Garamond"/>
          <w:color w:val="000000" w:themeColor="text1"/>
        </w:rPr>
      </w:pPr>
      <w:r w:rsidRPr="00391579">
        <w:rPr>
          <w:rStyle w:val="lev"/>
          <w:rFonts w:ascii="Garamond" w:eastAsiaTheme="majorEastAsia" w:hAnsi="Garamond"/>
          <w:color w:val="000000" w:themeColor="text1"/>
        </w:rPr>
        <w:lastRenderedPageBreak/>
        <w:t>CONDITIONS DE RECRUTEMENT DES DOCTORANTS</w:t>
      </w:r>
    </w:p>
    <w:p w14:paraId="1E338295" w14:textId="77777777" w:rsidR="00A34DEF" w:rsidRPr="00391579" w:rsidRDefault="00A34DEF" w:rsidP="00A34DEF">
      <w:pPr>
        <w:pStyle w:val="NormalWeb"/>
        <w:spacing w:before="0" w:beforeAutospacing="0" w:after="0" w:afterAutospacing="0"/>
        <w:rPr>
          <w:rStyle w:val="lev"/>
          <w:rFonts w:ascii="Garamond" w:eastAsiaTheme="majorEastAsia" w:hAnsi="Garamond"/>
          <w:color w:val="000000" w:themeColor="text1"/>
        </w:rPr>
      </w:pPr>
    </w:p>
    <w:p w14:paraId="404F181E" w14:textId="77777777" w:rsidR="00AB4FF7" w:rsidRPr="00132798" w:rsidRDefault="00A34DEF" w:rsidP="00A34DEF">
      <w:pPr>
        <w:pStyle w:val="NormalWeb"/>
        <w:spacing w:before="0" w:beforeAutospacing="0" w:after="0" w:afterAutospacing="0"/>
        <w:rPr>
          <w:rStyle w:val="lev"/>
          <w:rFonts w:ascii="Garamond" w:eastAsiaTheme="majorEastAsia" w:hAnsi="Garamond"/>
          <w:b w:val="0"/>
          <w:color w:val="000000" w:themeColor="text1"/>
        </w:rPr>
      </w:pPr>
      <w:r w:rsidRPr="00391579">
        <w:rPr>
          <w:rStyle w:val="lev"/>
          <w:rFonts w:ascii="Garamond" w:eastAsiaTheme="majorEastAsia" w:hAnsi="Garamond"/>
          <w:b w:val="0"/>
          <w:color w:val="000000" w:themeColor="text1"/>
        </w:rPr>
        <w:t xml:space="preserve">Il </w:t>
      </w:r>
      <w:r w:rsidRPr="00132798">
        <w:rPr>
          <w:rStyle w:val="lev"/>
          <w:rFonts w:ascii="Garamond" w:eastAsiaTheme="majorEastAsia" w:hAnsi="Garamond"/>
          <w:b w:val="0"/>
          <w:color w:val="000000" w:themeColor="text1"/>
        </w:rPr>
        <w:t>n’y a pas de condition d’âge ni de date d’obtention de Master.</w:t>
      </w:r>
      <w:r w:rsidR="00AB4FF7" w:rsidRPr="00132798">
        <w:rPr>
          <w:rStyle w:val="lev"/>
          <w:rFonts w:ascii="Garamond" w:eastAsiaTheme="majorEastAsia" w:hAnsi="Garamond"/>
          <w:b w:val="0"/>
          <w:color w:val="000000" w:themeColor="text1"/>
        </w:rPr>
        <w:t xml:space="preserve"> </w:t>
      </w:r>
    </w:p>
    <w:p w14:paraId="4B1EF973" w14:textId="77777777" w:rsidR="00AB4FF7" w:rsidRPr="00132798" w:rsidRDefault="00AB4FF7" w:rsidP="00A34DEF">
      <w:pPr>
        <w:pStyle w:val="NormalWeb"/>
        <w:spacing w:before="0" w:beforeAutospacing="0" w:after="0" w:afterAutospacing="0"/>
        <w:rPr>
          <w:rStyle w:val="lev"/>
          <w:rFonts w:ascii="Garamond" w:eastAsiaTheme="majorEastAsia" w:hAnsi="Garamond"/>
          <w:b w:val="0"/>
          <w:color w:val="000000" w:themeColor="text1"/>
        </w:rPr>
      </w:pPr>
    </w:p>
    <w:p w14:paraId="3925619A" w14:textId="38C1D9EB" w:rsidR="00A34DEF" w:rsidRPr="00132798" w:rsidRDefault="00A34DEF" w:rsidP="001151CA">
      <w:pPr>
        <w:pStyle w:val="NormalWeb"/>
        <w:spacing w:before="0" w:beforeAutospacing="0" w:after="0" w:afterAutospacing="0"/>
        <w:jc w:val="both"/>
        <w:rPr>
          <w:rFonts w:ascii="Garamond" w:hAnsi="Garamond"/>
          <w:color w:val="000000" w:themeColor="text1"/>
        </w:rPr>
      </w:pPr>
      <w:r w:rsidRPr="00132798">
        <w:rPr>
          <w:rFonts w:ascii="Garamond" w:hAnsi="Garamond"/>
          <w:color w:val="000000" w:themeColor="text1"/>
        </w:rPr>
        <w:t>Les candidat</w:t>
      </w:r>
      <w:r w:rsidR="00104F08" w:rsidRPr="00132798">
        <w:rPr>
          <w:rFonts w:ascii="Garamond" w:hAnsi="Garamond"/>
          <w:color w:val="000000" w:themeColor="text1"/>
        </w:rPr>
        <w:t>(e)</w:t>
      </w:r>
      <w:r w:rsidRPr="00132798">
        <w:rPr>
          <w:rFonts w:ascii="Garamond" w:hAnsi="Garamond"/>
          <w:color w:val="000000" w:themeColor="text1"/>
        </w:rPr>
        <w:t xml:space="preserve">s doivent justifier de l’obtention d’un Master ou équivalent. Il n’est pas nécessaire d’avoir déjà soutenu son mémoire de </w:t>
      </w:r>
      <w:r w:rsidR="00497C46">
        <w:rPr>
          <w:rFonts w:ascii="Garamond" w:hAnsi="Garamond"/>
          <w:color w:val="000000" w:themeColor="text1"/>
        </w:rPr>
        <w:t>M</w:t>
      </w:r>
      <w:r w:rsidR="00497C46" w:rsidRPr="00132798">
        <w:rPr>
          <w:rFonts w:ascii="Garamond" w:hAnsi="Garamond"/>
          <w:color w:val="000000" w:themeColor="text1"/>
        </w:rPr>
        <w:t xml:space="preserve">aster </w:t>
      </w:r>
      <w:r w:rsidRPr="00132798">
        <w:rPr>
          <w:rFonts w:ascii="Garamond" w:hAnsi="Garamond"/>
          <w:color w:val="000000" w:themeColor="text1"/>
        </w:rPr>
        <w:t>pour se porter candidat</w:t>
      </w:r>
      <w:r w:rsidR="00104F08" w:rsidRPr="00132798">
        <w:rPr>
          <w:rFonts w:ascii="Garamond" w:hAnsi="Garamond"/>
          <w:color w:val="000000" w:themeColor="text1"/>
        </w:rPr>
        <w:t>(e)</w:t>
      </w:r>
      <w:r w:rsidRPr="00132798">
        <w:rPr>
          <w:rFonts w:ascii="Garamond" w:hAnsi="Garamond"/>
          <w:color w:val="000000" w:themeColor="text1"/>
        </w:rPr>
        <w:t>. Le justificatif pourra être fourni après l’audition, mais la non-obtention du Master à l’issue des jurys de septembre annulera l’attribution du contrat doctoral.</w:t>
      </w:r>
    </w:p>
    <w:p w14:paraId="6A1E11C2" w14:textId="77777777" w:rsidR="00A34DEF" w:rsidRPr="00132798" w:rsidRDefault="00A34DEF" w:rsidP="001151CA">
      <w:pPr>
        <w:pStyle w:val="NormalWeb"/>
        <w:spacing w:before="0" w:beforeAutospacing="0" w:after="0" w:afterAutospacing="0"/>
        <w:jc w:val="both"/>
        <w:rPr>
          <w:rFonts w:ascii="Garamond" w:hAnsi="Garamond"/>
          <w:color w:val="000000" w:themeColor="text1"/>
        </w:rPr>
      </w:pPr>
    </w:p>
    <w:p w14:paraId="5C4B75CD" w14:textId="2B3E88D3" w:rsidR="00A34DEF" w:rsidRDefault="00A34DEF" w:rsidP="00BD5F32">
      <w:pPr>
        <w:pStyle w:val="NormalWeb"/>
        <w:spacing w:before="0" w:beforeAutospacing="0" w:after="0" w:afterAutospacing="0"/>
        <w:jc w:val="both"/>
        <w:rPr>
          <w:rStyle w:val="lev"/>
          <w:rFonts w:ascii="Garamond" w:eastAsiaTheme="majorEastAsia" w:hAnsi="Garamond"/>
          <w:b w:val="0"/>
          <w:color w:val="000000" w:themeColor="text1"/>
        </w:rPr>
      </w:pPr>
      <w:r w:rsidRPr="00132798">
        <w:rPr>
          <w:rFonts w:ascii="Garamond" w:hAnsi="Garamond"/>
          <w:color w:val="000000" w:themeColor="text1"/>
        </w:rPr>
        <w:t>Le contrat doctoral ne peut être accordé qu’aux étudiant</w:t>
      </w:r>
      <w:r w:rsidR="00104F08" w:rsidRPr="00132798">
        <w:rPr>
          <w:rFonts w:ascii="Garamond" w:hAnsi="Garamond"/>
          <w:color w:val="000000" w:themeColor="text1"/>
        </w:rPr>
        <w:t>(e)</w:t>
      </w:r>
      <w:r w:rsidRPr="00132798">
        <w:rPr>
          <w:rFonts w:ascii="Garamond" w:hAnsi="Garamond"/>
          <w:color w:val="000000" w:themeColor="text1"/>
        </w:rPr>
        <w:t>s qui s’inscriront en 1</w:t>
      </w:r>
      <w:r w:rsidRPr="00132798">
        <w:rPr>
          <w:rFonts w:ascii="Garamond" w:hAnsi="Garamond"/>
          <w:color w:val="000000" w:themeColor="text1"/>
          <w:vertAlign w:val="superscript"/>
        </w:rPr>
        <w:t>re</w:t>
      </w:r>
      <w:r w:rsidRPr="00132798">
        <w:rPr>
          <w:rFonts w:ascii="Garamond" w:hAnsi="Garamond"/>
          <w:color w:val="000000" w:themeColor="text1"/>
        </w:rPr>
        <w:t xml:space="preserve"> année de doctorat à la rentrée 202</w:t>
      </w:r>
      <w:r w:rsidR="003231A8" w:rsidRPr="00132798">
        <w:rPr>
          <w:rFonts w:ascii="Garamond" w:hAnsi="Garamond"/>
          <w:color w:val="000000" w:themeColor="text1"/>
        </w:rPr>
        <w:t>5</w:t>
      </w:r>
      <w:r w:rsidRPr="00132798">
        <w:rPr>
          <w:rFonts w:ascii="Garamond" w:hAnsi="Garamond"/>
          <w:color w:val="000000" w:themeColor="text1"/>
        </w:rPr>
        <w:t>-202</w:t>
      </w:r>
      <w:r w:rsidR="003231A8" w:rsidRPr="00132798">
        <w:rPr>
          <w:rFonts w:ascii="Garamond" w:hAnsi="Garamond"/>
          <w:color w:val="000000" w:themeColor="text1"/>
        </w:rPr>
        <w:t>6.</w:t>
      </w:r>
      <w:r w:rsidRPr="00132798">
        <w:rPr>
          <w:rFonts w:ascii="Garamond" w:hAnsi="Garamond"/>
          <w:color w:val="000000" w:themeColor="text1"/>
        </w:rPr>
        <w:t xml:space="preserve"> </w:t>
      </w:r>
      <w:r w:rsidRPr="00132798">
        <w:rPr>
          <w:rStyle w:val="lev"/>
          <w:rFonts w:ascii="Garamond" w:eastAsiaTheme="majorEastAsia" w:hAnsi="Garamond"/>
          <w:b w:val="0"/>
          <w:color w:val="000000" w:themeColor="text1"/>
        </w:rPr>
        <w:t>Le recrutement des candidat</w:t>
      </w:r>
      <w:r w:rsidR="00104F08" w:rsidRPr="00132798">
        <w:rPr>
          <w:rStyle w:val="lev"/>
          <w:rFonts w:ascii="Garamond" w:eastAsiaTheme="majorEastAsia" w:hAnsi="Garamond"/>
          <w:b w:val="0"/>
          <w:color w:val="000000" w:themeColor="text1"/>
        </w:rPr>
        <w:t>(e)</w:t>
      </w:r>
      <w:r w:rsidRPr="00132798">
        <w:rPr>
          <w:rStyle w:val="lev"/>
          <w:rFonts w:ascii="Garamond" w:eastAsiaTheme="majorEastAsia" w:hAnsi="Garamond"/>
          <w:b w:val="0"/>
          <w:color w:val="000000" w:themeColor="text1"/>
        </w:rPr>
        <w:t>s retenu</w:t>
      </w:r>
      <w:r w:rsidR="00104F08" w:rsidRPr="00132798">
        <w:rPr>
          <w:rStyle w:val="lev"/>
          <w:rFonts w:ascii="Garamond" w:eastAsiaTheme="majorEastAsia" w:hAnsi="Garamond"/>
          <w:b w:val="0"/>
          <w:color w:val="000000" w:themeColor="text1"/>
        </w:rPr>
        <w:t>(e)</w:t>
      </w:r>
      <w:r w:rsidRPr="00132798">
        <w:rPr>
          <w:rStyle w:val="lev"/>
          <w:rFonts w:ascii="Garamond" w:eastAsiaTheme="majorEastAsia" w:hAnsi="Garamond"/>
          <w:b w:val="0"/>
          <w:color w:val="000000" w:themeColor="text1"/>
        </w:rPr>
        <w:t>s ne sera effectif qu’après le paiement des droits d’inscription en doctorat.</w:t>
      </w:r>
      <w:r w:rsidRPr="00391579">
        <w:rPr>
          <w:rStyle w:val="lev"/>
          <w:rFonts w:ascii="Garamond" w:eastAsiaTheme="majorEastAsia" w:hAnsi="Garamond"/>
          <w:b w:val="0"/>
          <w:color w:val="000000" w:themeColor="text1"/>
        </w:rPr>
        <w:t xml:space="preserve"> </w:t>
      </w:r>
    </w:p>
    <w:p w14:paraId="7608D7B7" w14:textId="77777777" w:rsidR="00A81351" w:rsidRDefault="00A81351" w:rsidP="00BD5F32">
      <w:pPr>
        <w:pStyle w:val="NormalWeb"/>
        <w:spacing w:before="0" w:beforeAutospacing="0" w:after="0" w:afterAutospacing="0"/>
        <w:jc w:val="both"/>
        <w:rPr>
          <w:rStyle w:val="lev"/>
          <w:rFonts w:ascii="Garamond" w:eastAsiaTheme="majorEastAsia" w:hAnsi="Garamond"/>
          <w:b w:val="0"/>
          <w:color w:val="000000" w:themeColor="text1"/>
        </w:rPr>
      </w:pPr>
    </w:p>
    <w:p w14:paraId="6C1050B1" w14:textId="5FEE8FD3" w:rsidR="00A81351" w:rsidRPr="00391579" w:rsidRDefault="00A81351" w:rsidP="001151CA">
      <w:pPr>
        <w:pStyle w:val="NormalWeb"/>
        <w:spacing w:before="0" w:beforeAutospacing="0" w:after="0" w:afterAutospacing="0"/>
        <w:jc w:val="both"/>
        <w:rPr>
          <w:rStyle w:val="lev"/>
          <w:rFonts w:ascii="Garamond" w:hAnsi="Garamond"/>
          <w:b w:val="0"/>
          <w:bCs w:val="0"/>
          <w:color w:val="000000" w:themeColor="text1"/>
        </w:rPr>
      </w:pPr>
      <w:r>
        <w:rPr>
          <w:rStyle w:val="lev"/>
          <w:rFonts w:ascii="Garamond" w:eastAsiaTheme="majorEastAsia" w:hAnsi="Garamond"/>
          <w:b w:val="0"/>
          <w:color w:val="000000" w:themeColor="text1"/>
        </w:rPr>
        <w:t xml:space="preserve">Titulaire de la HDR, le </w:t>
      </w:r>
      <w:r w:rsidR="00F80ABB">
        <w:rPr>
          <w:rStyle w:val="lev"/>
          <w:rFonts w:ascii="Garamond" w:eastAsiaTheme="majorEastAsia" w:hAnsi="Garamond"/>
          <w:b w:val="0"/>
          <w:color w:val="000000" w:themeColor="text1"/>
        </w:rPr>
        <w:t>directeur</w:t>
      </w:r>
      <w:r>
        <w:rPr>
          <w:rStyle w:val="lev"/>
          <w:rFonts w:ascii="Garamond" w:eastAsiaTheme="majorEastAsia" w:hAnsi="Garamond"/>
          <w:b w:val="0"/>
          <w:color w:val="000000" w:themeColor="text1"/>
        </w:rPr>
        <w:t xml:space="preserve"> de thèse sera membre de l’une des trois ED susmentionnées, soit </w:t>
      </w:r>
      <w:r w:rsidR="003F0567">
        <w:rPr>
          <w:rStyle w:val="lev"/>
          <w:rFonts w:ascii="Garamond" w:eastAsiaTheme="majorEastAsia" w:hAnsi="Garamond"/>
          <w:b w:val="0"/>
          <w:color w:val="000000" w:themeColor="text1"/>
        </w:rPr>
        <w:t>l’ED 472, l’ED 540</w:t>
      </w:r>
      <w:r w:rsidR="00C34CBB">
        <w:rPr>
          <w:rStyle w:val="lev"/>
          <w:rFonts w:ascii="Garamond" w:eastAsiaTheme="majorEastAsia" w:hAnsi="Garamond"/>
          <w:b w:val="0"/>
          <w:color w:val="000000" w:themeColor="text1"/>
        </w:rPr>
        <w:t xml:space="preserve"> ou</w:t>
      </w:r>
      <w:r w:rsidR="003F0567">
        <w:rPr>
          <w:rStyle w:val="lev"/>
          <w:rFonts w:ascii="Garamond" w:eastAsiaTheme="majorEastAsia" w:hAnsi="Garamond"/>
          <w:b w:val="0"/>
          <w:color w:val="000000" w:themeColor="text1"/>
        </w:rPr>
        <w:t xml:space="preserve"> l’ED 127.</w:t>
      </w:r>
    </w:p>
    <w:p w14:paraId="402C360C" w14:textId="77777777" w:rsidR="001502C0" w:rsidRPr="00391579" w:rsidRDefault="001502C0" w:rsidP="001151CA">
      <w:pPr>
        <w:pStyle w:val="NormalWeb"/>
        <w:spacing w:before="0" w:beforeAutospacing="0" w:after="0" w:afterAutospacing="0"/>
        <w:jc w:val="both"/>
        <w:rPr>
          <w:rStyle w:val="lev"/>
          <w:rFonts w:ascii="Garamond" w:eastAsiaTheme="majorEastAsia" w:hAnsi="Garamond"/>
          <w:color w:val="000000" w:themeColor="text1"/>
        </w:rPr>
      </w:pPr>
    </w:p>
    <w:p w14:paraId="6AE7E255" w14:textId="77777777" w:rsidR="00A34DEF" w:rsidRPr="00391579" w:rsidRDefault="00A34DEF" w:rsidP="001151CA">
      <w:pPr>
        <w:pStyle w:val="NormalWeb"/>
        <w:spacing w:before="0" w:beforeAutospacing="0" w:after="0" w:afterAutospacing="0"/>
        <w:jc w:val="both"/>
        <w:rPr>
          <w:rStyle w:val="lev"/>
          <w:rFonts w:ascii="Garamond" w:eastAsiaTheme="majorEastAsia" w:hAnsi="Garamond"/>
          <w:color w:val="000000" w:themeColor="text1"/>
        </w:rPr>
      </w:pPr>
    </w:p>
    <w:p w14:paraId="5CE2D249" w14:textId="77777777" w:rsidR="00A34DEF" w:rsidRPr="00391579" w:rsidRDefault="00A34DEF" w:rsidP="001151CA">
      <w:pPr>
        <w:pStyle w:val="NormalWeb"/>
        <w:spacing w:before="0" w:beforeAutospacing="0" w:after="0" w:afterAutospacing="0"/>
        <w:jc w:val="both"/>
        <w:rPr>
          <w:rStyle w:val="lev"/>
          <w:rFonts w:ascii="Garamond" w:eastAsiaTheme="majorEastAsia" w:hAnsi="Garamond"/>
          <w:color w:val="000000" w:themeColor="text1"/>
        </w:rPr>
      </w:pPr>
      <w:r w:rsidRPr="00391579">
        <w:rPr>
          <w:rStyle w:val="lev"/>
          <w:rFonts w:ascii="Garamond" w:eastAsiaTheme="majorEastAsia" w:hAnsi="Garamond"/>
          <w:color w:val="000000" w:themeColor="text1"/>
        </w:rPr>
        <w:t>DOSSIER DE CANDIDATURE</w:t>
      </w:r>
    </w:p>
    <w:p w14:paraId="04AA1AA8" w14:textId="77777777" w:rsidR="00A34DEF" w:rsidRPr="00391579" w:rsidRDefault="00A34DEF" w:rsidP="001151CA">
      <w:pPr>
        <w:pStyle w:val="NormalWeb"/>
        <w:spacing w:before="0" w:beforeAutospacing="0" w:after="0" w:afterAutospacing="0"/>
        <w:jc w:val="both"/>
        <w:rPr>
          <w:rStyle w:val="lev"/>
          <w:rFonts w:ascii="Garamond" w:eastAsiaTheme="majorEastAsia" w:hAnsi="Garamond"/>
          <w:color w:val="000000" w:themeColor="text1"/>
        </w:rPr>
      </w:pPr>
    </w:p>
    <w:p w14:paraId="3C2533ED" w14:textId="1A4C19AF" w:rsidR="00A34DEF" w:rsidRDefault="00A02A0A" w:rsidP="00A02A0A">
      <w:pPr>
        <w:pStyle w:val="NormalWeb"/>
        <w:spacing w:before="0" w:beforeAutospacing="0" w:after="0" w:afterAutospacing="0"/>
        <w:jc w:val="both"/>
        <w:rPr>
          <w:rStyle w:val="lev"/>
          <w:rFonts w:ascii="Garamond" w:eastAsiaTheme="majorEastAsia" w:hAnsi="Garamond"/>
          <w:color w:val="000000" w:themeColor="text1"/>
        </w:rPr>
      </w:pPr>
      <w:r>
        <w:rPr>
          <w:rStyle w:val="lev"/>
          <w:rFonts w:ascii="Garamond" w:eastAsiaTheme="majorEastAsia" w:hAnsi="Garamond"/>
          <w:color w:val="000000" w:themeColor="text1"/>
        </w:rPr>
        <w:t>Le dossier de candidature sera constitué d’un unique</w:t>
      </w:r>
      <w:r w:rsidR="00A34DEF" w:rsidRPr="00391579">
        <w:rPr>
          <w:rStyle w:val="lev"/>
          <w:rFonts w:ascii="Garamond" w:eastAsiaTheme="majorEastAsia" w:hAnsi="Garamond"/>
          <w:color w:val="000000" w:themeColor="text1"/>
        </w:rPr>
        <w:t xml:space="preserve"> fichier .</w:t>
      </w:r>
      <w:proofErr w:type="spellStart"/>
      <w:r w:rsidR="00A34DEF" w:rsidRPr="00391579">
        <w:rPr>
          <w:rStyle w:val="lev"/>
          <w:rFonts w:ascii="Garamond" w:eastAsiaTheme="majorEastAsia" w:hAnsi="Garamond"/>
          <w:color w:val="000000" w:themeColor="text1"/>
        </w:rPr>
        <w:t>pdf</w:t>
      </w:r>
      <w:proofErr w:type="spellEnd"/>
      <w:r w:rsidR="00A34DEF" w:rsidRPr="00391579">
        <w:rPr>
          <w:rStyle w:val="lev"/>
          <w:rFonts w:ascii="Garamond" w:eastAsiaTheme="majorEastAsia" w:hAnsi="Garamond"/>
          <w:color w:val="000000" w:themeColor="text1"/>
        </w:rPr>
        <w:t xml:space="preserve">, </w:t>
      </w:r>
      <w:r w:rsidR="0019679E">
        <w:rPr>
          <w:rStyle w:val="lev"/>
          <w:rFonts w:ascii="Garamond" w:eastAsiaTheme="majorEastAsia" w:hAnsi="Garamond"/>
          <w:color w:val="000000" w:themeColor="text1"/>
        </w:rPr>
        <w:t xml:space="preserve">portant indication du nom et du prénom du candidat, dans la forme </w:t>
      </w:r>
      <w:r w:rsidR="00A34DEF" w:rsidRPr="00391579">
        <w:rPr>
          <w:rStyle w:val="lev"/>
          <w:rFonts w:ascii="Garamond" w:eastAsiaTheme="majorEastAsia" w:hAnsi="Garamond"/>
          <w:color w:val="000000" w:themeColor="text1"/>
        </w:rPr>
        <w:t>« </w:t>
      </w:r>
      <w:r w:rsidR="0019679E">
        <w:rPr>
          <w:rStyle w:val="lev"/>
          <w:rFonts w:ascii="Garamond" w:eastAsiaTheme="majorEastAsia" w:hAnsi="Garamond"/>
          <w:color w:val="000000" w:themeColor="text1"/>
        </w:rPr>
        <w:t>NOM</w:t>
      </w:r>
      <w:r w:rsidR="00A34DEF" w:rsidRPr="00391579">
        <w:rPr>
          <w:rStyle w:val="lev"/>
          <w:rFonts w:ascii="Garamond" w:eastAsiaTheme="majorEastAsia" w:hAnsi="Garamond"/>
          <w:color w:val="000000" w:themeColor="text1"/>
        </w:rPr>
        <w:t xml:space="preserve">_ prénom_ cd </w:t>
      </w:r>
      <w:proofErr w:type="spellStart"/>
      <w:r w:rsidR="00AB4FF7" w:rsidRPr="00391579">
        <w:rPr>
          <w:rStyle w:val="lev"/>
          <w:rFonts w:ascii="Garamond" w:eastAsiaTheme="majorEastAsia" w:hAnsi="Garamond"/>
          <w:color w:val="000000" w:themeColor="text1"/>
        </w:rPr>
        <w:t>FAn</w:t>
      </w:r>
      <w:proofErr w:type="spellEnd"/>
      <w:r w:rsidR="00AB4FF7" w:rsidRPr="00391579">
        <w:rPr>
          <w:rStyle w:val="lev"/>
          <w:rFonts w:ascii="Garamond" w:eastAsiaTheme="majorEastAsia" w:hAnsi="Garamond"/>
          <w:color w:val="000000" w:themeColor="text1"/>
        </w:rPr>
        <w:t xml:space="preserve"> </w:t>
      </w:r>
      <w:r w:rsidR="00A34DEF" w:rsidRPr="00391579">
        <w:rPr>
          <w:rStyle w:val="lev"/>
          <w:rFonts w:ascii="Garamond" w:eastAsiaTheme="majorEastAsia" w:hAnsi="Garamond"/>
          <w:color w:val="000000" w:themeColor="text1"/>
        </w:rPr>
        <w:t>202</w:t>
      </w:r>
      <w:r w:rsidR="00AB4FF7" w:rsidRPr="00391579">
        <w:rPr>
          <w:rStyle w:val="lev"/>
          <w:rFonts w:ascii="Garamond" w:eastAsiaTheme="majorEastAsia" w:hAnsi="Garamond"/>
          <w:color w:val="000000" w:themeColor="text1"/>
        </w:rPr>
        <w:t>5</w:t>
      </w:r>
      <w:r w:rsidR="00A34DEF" w:rsidRPr="00391579">
        <w:rPr>
          <w:rStyle w:val="lev"/>
          <w:rFonts w:ascii="Garamond" w:eastAsiaTheme="majorEastAsia" w:hAnsi="Garamond"/>
          <w:color w:val="000000" w:themeColor="text1"/>
        </w:rPr>
        <w:t xml:space="preserve">.pdf », et </w:t>
      </w:r>
      <w:r>
        <w:rPr>
          <w:rStyle w:val="lev"/>
          <w:rFonts w:ascii="Garamond" w:eastAsiaTheme="majorEastAsia" w:hAnsi="Garamond"/>
          <w:color w:val="000000" w:themeColor="text1"/>
        </w:rPr>
        <w:t>réunissant,</w:t>
      </w:r>
      <w:r w:rsidRPr="00391579">
        <w:rPr>
          <w:rStyle w:val="lev"/>
          <w:rFonts w:ascii="Garamond" w:eastAsiaTheme="majorEastAsia" w:hAnsi="Garamond"/>
          <w:color w:val="000000" w:themeColor="text1"/>
        </w:rPr>
        <w:t xml:space="preserve"> </w:t>
      </w:r>
      <w:r w:rsidR="00A34DEF" w:rsidRPr="00391579">
        <w:rPr>
          <w:rStyle w:val="lev"/>
          <w:rFonts w:ascii="Garamond" w:eastAsiaTheme="majorEastAsia" w:hAnsi="Garamond"/>
          <w:color w:val="000000" w:themeColor="text1"/>
        </w:rPr>
        <w:t>dans cet ordre</w:t>
      </w:r>
      <w:r>
        <w:rPr>
          <w:rStyle w:val="lev"/>
          <w:rFonts w:ascii="Garamond" w:eastAsiaTheme="majorEastAsia" w:hAnsi="Garamond"/>
          <w:color w:val="000000" w:themeColor="text1"/>
        </w:rPr>
        <w:t>, les documents suivants :</w:t>
      </w:r>
    </w:p>
    <w:p w14:paraId="5864E5BA" w14:textId="77777777" w:rsidR="00A02A0A" w:rsidRPr="00391579" w:rsidRDefault="00A02A0A" w:rsidP="001151CA">
      <w:pPr>
        <w:pStyle w:val="NormalWeb"/>
        <w:spacing w:before="0" w:beforeAutospacing="0" w:after="0" w:afterAutospacing="0"/>
        <w:jc w:val="both"/>
        <w:rPr>
          <w:rStyle w:val="lev"/>
          <w:rFonts w:ascii="Garamond" w:eastAsiaTheme="majorEastAsia" w:hAnsi="Garamond"/>
          <w:color w:val="000000" w:themeColor="text1"/>
        </w:rPr>
      </w:pPr>
    </w:p>
    <w:p w14:paraId="7A45D26D" w14:textId="748219CD" w:rsidR="00A34DEF" w:rsidRPr="00391579" w:rsidRDefault="00A34DEF" w:rsidP="001151CA">
      <w:pPr>
        <w:pStyle w:val="NormalWeb"/>
        <w:numPr>
          <w:ilvl w:val="0"/>
          <w:numId w:val="2"/>
        </w:numPr>
        <w:tabs>
          <w:tab w:val="clear" w:pos="2160"/>
          <w:tab w:val="num" w:pos="709"/>
        </w:tabs>
        <w:spacing w:before="0" w:beforeAutospacing="0" w:after="0" w:afterAutospacing="0"/>
        <w:ind w:left="709"/>
        <w:jc w:val="both"/>
        <w:rPr>
          <w:rFonts w:ascii="Garamond" w:hAnsi="Garamond"/>
          <w:color w:val="000000" w:themeColor="text1"/>
        </w:rPr>
      </w:pPr>
      <w:r w:rsidRPr="00391579">
        <w:rPr>
          <w:rFonts w:ascii="Garamond" w:hAnsi="Garamond"/>
          <w:color w:val="000000" w:themeColor="text1"/>
        </w:rPr>
        <w:t>Fiche de renseignement</w:t>
      </w:r>
      <w:r w:rsidR="00F328F0">
        <w:rPr>
          <w:rFonts w:ascii="Garamond" w:hAnsi="Garamond"/>
          <w:color w:val="000000" w:themeColor="text1"/>
        </w:rPr>
        <w:t>s</w:t>
      </w:r>
    </w:p>
    <w:p w14:paraId="63A69CCD" w14:textId="23BE6500" w:rsidR="00A34DEF" w:rsidRPr="00391579" w:rsidRDefault="00A34DEF" w:rsidP="001151CA">
      <w:pPr>
        <w:numPr>
          <w:ilvl w:val="0"/>
          <w:numId w:val="2"/>
        </w:numPr>
        <w:tabs>
          <w:tab w:val="clear" w:pos="2160"/>
          <w:tab w:val="num" w:pos="709"/>
        </w:tabs>
        <w:ind w:left="709"/>
        <w:jc w:val="both"/>
        <w:rPr>
          <w:rFonts w:ascii="Garamond" w:hAnsi="Garamond"/>
          <w:color w:val="000000" w:themeColor="text1"/>
        </w:rPr>
      </w:pPr>
      <w:r w:rsidRPr="00391579">
        <w:rPr>
          <w:rFonts w:ascii="Garamond" w:hAnsi="Garamond"/>
          <w:color w:val="000000" w:themeColor="text1"/>
        </w:rPr>
        <w:t>Lettre de candidature</w:t>
      </w:r>
      <w:r w:rsidR="007F45D2">
        <w:rPr>
          <w:rFonts w:ascii="Garamond" w:hAnsi="Garamond"/>
          <w:color w:val="000000" w:themeColor="text1"/>
        </w:rPr>
        <w:t xml:space="preserve"> explicitant la motivation du candidat à participer au programme </w:t>
      </w:r>
      <w:proofErr w:type="spellStart"/>
      <w:r w:rsidR="007F45D2">
        <w:rPr>
          <w:rFonts w:ascii="Garamond" w:hAnsi="Garamond"/>
          <w:color w:val="000000" w:themeColor="text1"/>
        </w:rPr>
        <w:t>FAn</w:t>
      </w:r>
      <w:proofErr w:type="spellEnd"/>
    </w:p>
    <w:p w14:paraId="09DA5265" w14:textId="75CB80DA" w:rsidR="00A34DEF" w:rsidRPr="00391579" w:rsidRDefault="00A34DEF" w:rsidP="001151CA">
      <w:pPr>
        <w:numPr>
          <w:ilvl w:val="0"/>
          <w:numId w:val="2"/>
        </w:numPr>
        <w:tabs>
          <w:tab w:val="clear" w:pos="2160"/>
          <w:tab w:val="num" w:pos="709"/>
        </w:tabs>
        <w:ind w:left="709"/>
        <w:jc w:val="both"/>
        <w:rPr>
          <w:rFonts w:ascii="Garamond" w:hAnsi="Garamond"/>
          <w:color w:val="000000" w:themeColor="text1"/>
        </w:rPr>
      </w:pPr>
      <w:r w:rsidRPr="00391579">
        <w:rPr>
          <w:rFonts w:ascii="Garamond" w:hAnsi="Garamond"/>
          <w:i/>
          <w:color w:val="000000" w:themeColor="text1"/>
        </w:rPr>
        <w:t>Curriculum vitae</w:t>
      </w:r>
    </w:p>
    <w:p w14:paraId="31976463" w14:textId="3E24B566" w:rsidR="00A34DEF" w:rsidRPr="00391579" w:rsidRDefault="00A34DEF" w:rsidP="001151CA">
      <w:pPr>
        <w:numPr>
          <w:ilvl w:val="0"/>
          <w:numId w:val="2"/>
        </w:numPr>
        <w:tabs>
          <w:tab w:val="clear" w:pos="2160"/>
          <w:tab w:val="num" w:pos="709"/>
        </w:tabs>
        <w:ind w:left="709"/>
        <w:jc w:val="both"/>
        <w:rPr>
          <w:rFonts w:ascii="Garamond" w:hAnsi="Garamond"/>
          <w:color w:val="000000" w:themeColor="text1"/>
        </w:rPr>
      </w:pPr>
      <w:r w:rsidRPr="00391579">
        <w:rPr>
          <w:rFonts w:ascii="Garamond" w:hAnsi="Garamond"/>
          <w:color w:val="000000" w:themeColor="text1"/>
        </w:rPr>
        <w:t>Lettre de recommandation du directeur de thèse, lequel indiquera</w:t>
      </w:r>
      <w:r w:rsidR="00E00F36">
        <w:rPr>
          <w:rFonts w:ascii="Garamond" w:hAnsi="Garamond"/>
          <w:color w:val="000000" w:themeColor="text1"/>
        </w:rPr>
        <w:t xml:space="preserve"> l’ED concernée et</w:t>
      </w:r>
      <w:r w:rsidRPr="00391579">
        <w:rPr>
          <w:rFonts w:ascii="Garamond" w:hAnsi="Garamond"/>
          <w:color w:val="000000" w:themeColor="text1"/>
        </w:rPr>
        <w:t xml:space="preserve"> dans quel laboratoire le candidat est susceptible d’être affecté</w:t>
      </w:r>
      <w:r w:rsidR="00DA6C9A" w:rsidRPr="00391579">
        <w:rPr>
          <w:rFonts w:ascii="Garamond" w:hAnsi="Garamond"/>
          <w:color w:val="000000" w:themeColor="text1"/>
        </w:rPr>
        <w:t xml:space="preserve">. </w:t>
      </w:r>
      <w:r w:rsidRPr="00391579">
        <w:rPr>
          <w:rFonts w:ascii="Garamond" w:hAnsi="Garamond"/>
          <w:bCs/>
          <w:color w:val="000000" w:themeColor="text1"/>
        </w:rPr>
        <w:t>(</w:t>
      </w:r>
      <w:r w:rsidR="0075235E">
        <w:rPr>
          <w:rFonts w:ascii="Garamond" w:hAnsi="Garamond"/>
          <w:bCs/>
          <w:color w:val="000000" w:themeColor="text1"/>
        </w:rPr>
        <w:t xml:space="preserve">N.B. </w:t>
      </w:r>
      <w:r w:rsidR="00E00F36">
        <w:rPr>
          <w:rFonts w:ascii="Garamond" w:hAnsi="Garamond"/>
          <w:bCs/>
          <w:color w:val="000000" w:themeColor="text1"/>
        </w:rPr>
        <w:t>La lettre devra</w:t>
      </w:r>
      <w:r w:rsidR="0075235E">
        <w:rPr>
          <w:rFonts w:ascii="Garamond" w:hAnsi="Garamond"/>
          <w:bCs/>
          <w:color w:val="000000" w:themeColor="text1"/>
        </w:rPr>
        <w:t xml:space="preserve"> être signée.</w:t>
      </w:r>
      <w:r w:rsidR="00E00F36">
        <w:rPr>
          <w:rFonts w:ascii="Garamond" w:hAnsi="Garamond"/>
          <w:bCs/>
          <w:color w:val="000000" w:themeColor="text1"/>
        </w:rPr>
        <w:t xml:space="preserve"> </w:t>
      </w:r>
      <w:r w:rsidR="00A50B8C">
        <w:rPr>
          <w:rFonts w:ascii="Garamond" w:hAnsi="Garamond"/>
          <w:bCs/>
          <w:color w:val="000000" w:themeColor="text1"/>
        </w:rPr>
        <w:t>Un</w:t>
      </w:r>
      <w:r w:rsidR="00A50B8C" w:rsidRPr="00391579">
        <w:rPr>
          <w:rFonts w:ascii="Garamond" w:hAnsi="Garamond"/>
          <w:bCs/>
          <w:color w:val="000000" w:themeColor="text1"/>
        </w:rPr>
        <w:t xml:space="preserve"> </w:t>
      </w:r>
      <w:r w:rsidRPr="00391579">
        <w:rPr>
          <w:rFonts w:ascii="Garamond" w:hAnsi="Garamond"/>
          <w:bCs/>
          <w:color w:val="000000" w:themeColor="text1"/>
        </w:rPr>
        <w:t>directeur de thèse ne peut soutenir qu’un seul candidat à ce concours)</w:t>
      </w:r>
    </w:p>
    <w:p w14:paraId="17F2E982" w14:textId="7B2234C3" w:rsidR="00A34DEF" w:rsidRPr="00391579" w:rsidRDefault="00A34DEF" w:rsidP="001151CA">
      <w:pPr>
        <w:numPr>
          <w:ilvl w:val="0"/>
          <w:numId w:val="2"/>
        </w:numPr>
        <w:tabs>
          <w:tab w:val="clear" w:pos="2160"/>
          <w:tab w:val="num" w:pos="709"/>
        </w:tabs>
        <w:ind w:left="709"/>
        <w:jc w:val="both"/>
        <w:rPr>
          <w:rFonts w:ascii="Garamond" w:hAnsi="Garamond"/>
          <w:color w:val="000000" w:themeColor="text1"/>
        </w:rPr>
      </w:pPr>
      <w:r w:rsidRPr="00391579">
        <w:rPr>
          <w:rFonts w:ascii="Garamond" w:hAnsi="Garamond"/>
          <w:color w:val="000000" w:themeColor="text1"/>
        </w:rPr>
        <w:t xml:space="preserve">Avis conforme du directeur de l’unité d’affectation </w:t>
      </w:r>
    </w:p>
    <w:p w14:paraId="5CF4D4E6" w14:textId="214FE180" w:rsidR="00A34DEF" w:rsidRPr="00391579" w:rsidRDefault="00A34DEF" w:rsidP="001151CA">
      <w:pPr>
        <w:numPr>
          <w:ilvl w:val="0"/>
          <w:numId w:val="2"/>
        </w:numPr>
        <w:tabs>
          <w:tab w:val="clear" w:pos="2160"/>
          <w:tab w:val="num" w:pos="709"/>
        </w:tabs>
        <w:ind w:left="709"/>
        <w:jc w:val="both"/>
        <w:rPr>
          <w:rFonts w:ascii="Garamond" w:hAnsi="Garamond"/>
          <w:color w:val="000000" w:themeColor="text1"/>
        </w:rPr>
      </w:pPr>
      <w:r w:rsidRPr="00391579">
        <w:rPr>
          <w:rFonts w:ascii="Garamond" w:hAnsi="Garamond"/>
          <w:color w:val="000000" w:themeColor="text1"/>
        </w:rPr>
        <w:t xml:space="preserve">Projet de thèse de </w:t>
      </w:r>
      <w:r w:rsidR="00497C46">
        <w:rPr>
          <w:rFonts w:ascii="Garamond" w:hAnsi="Garamond"/>
          <w:color w:val="000000" w:themeColor="text1"/>
        </w:rPr>
        <w:t>quatre</w:t>
      </w:r>
      <w:r w:rsidR="00497C46" w:rsidRPr="00391579">
        <w:rPr>
          <w:rFonts w:ascii="Garamond" w:hAnsi="Garamond"/>
          <w:color w:val="000000" w:themeColor="text1"/>
        </w:rPr>
        <w:t xml:space="preserve"> </w:t>
      </w:r>
      <w:r w:rsidRPr="00391579">
        <w:rPr>
          <w:rFonts w:ascii="Garamond" w:hAnsi="Garamond"/>
          <w:color w:val="000000" w:themeColor="text1"/>
        </w:rPr>
        <w:t xml:space="preserve">pages </w:t>
      </w:r>
      <w:r w:rsidR="007F45D2">
        <w:rPr>
          <w:rFonts w:ascii="Garamond" w:hAnsi="Garamond"/>
          <w:color w:val="000000" w:themeColor="text1"/>
        </w:rPr>
        <w:t>mettant en évidence, sur au moins une page, l’intérêt du sujet</w:t>
      </w:r>
      <w:r w:rsidR="00DA5D1C">
        <w:rPr>
          <w:rFonts w:ascii="Garamond" w:hAnsi="Garamond"/>
          <w:color w:val="000000" w:themeColor="text1"/>
        </w:rPr>
        <w:t xml:space="preserve"> et de la problématique</w:t>
      </w:r>
      <w:r w:rsidR="007F45D2">
        <w:rPr>
          <w:rFonts w:ascii="Garamond" w:hAnsi="Garamond"/>
          <w:color w:val="000000" w:themeColor="text1"/>
        </w:rPr>
        <w:t xml:space="preserve"> </w:t>
      </w:r>
      <w:r w:rsidR="00DA5D1C">
        <w:rPr>
          <w:rFonts w:ascii="Garamond" w:hAnsi="Garamond"/>
          <w:color w:val="000000" w:themeColor="text1"/>
        </w:rPr>
        <w:t>proposés pour l’un des</w:t>
      </w:r>
      <w:r w:rsidR="001502C0" w:rsidRPr="00391579">
        <w:rPr>
          <w:rFonts w:ascii="Garamond" w:hAnsi="Garamond"/>
          <w:color w:val="000000" w:themeColor="text1"/>
        </w:rPr>
        <w:t xml:space="preserve"> </w:t>
      </w:r>
      <w:r w:rsidR="00DA5D1C">
        <w:rPr>
          <w:rFonts w:ascii="Garamond" w:hAnsi="Garamond"/>
          <w:color w:val="000000" w:themeColor="text1"/>
        </w:rPr>
        <w:t>trois</w:t>
      </w:r>
      <w:r w:rsidR="001502C0" w:rsidRPr="00391579">
        <w:rPr>
          <w:rFonts w:ascii="Garamond" w:hAnsi="Garamond"/>
          <w:color w:val="000000" w:themeColor="text1"/>
        </w:rPr>
        <w:t xml:space="preserve"> </w:t>
      </w:r>
      <w:r w:rsidR="00DA6C9A" w:rsidRPr="00391579">
        <w:rPr>
          <w:rFonts w:ascii="Garamond" w:hAnsi="Garamond"/>
          <w:color w:val="000000" w:themeColor="text1"/>
        </w:rPr>
        <w:t xml:space="preserve">axes </w:t>
      </w:r>
      <w:r w:rsidR="001502C0" w:rsidRPr="00391579">
        <w:rPr>
          <w:rFonts w:ascii="Garamond" w:hAnsi="Garamond"/>
          <w:color w:val="000000" w:themeColor="text1"/>
        </w:rPr>
        <w:t>du programme “Les fabriques de l’antique”</w:t>
      </w:r>
      <w:r w:rsidR="00DA5D1C">
        <w:rPr>
          <w:rFonts w:ascii="Garamond" w:hAnsi="Garamond"/>
          <w:color w:val="000000" w:themeColor="text1"/>
        </w:rPr>
        <w:t xml:space="preserve">, </w:t>
      </w:r>
      <w:r w:rsidR="00523B67">
        <w:rPr>
          <w:rFonts w:ascii="Garamond" w:hAnsi="Garamond"/>
          <w:color w:val="000000" w:themeColor="text1"/>
        </w:rPr>
        <w:t xml:space="preserve">et </w:t>
      </w:r>
      <w:r w:rsidR="00DA6C9A" w:rsidRPr="00391579">
        <w:rPr>
          <w:rFonts w:ascii="Garamond" w:hAnsi="Garamond"/>
          <w:color w:val="000000" w:themeColor="text1"/>
        </w:rPr>
        <w:t>incluant</w:t>
      </w:r>
      <w:r w:rsidRPr="00391579">
        <w:rPr>
          <w:rFonts w:ascii="Garamond" w:hAnsi="Garamond"/>
          <w:color w:val="000000" w:themeColor="text1"/>
        </w:rPr>
        <w:t xml:space="preserve"> une bibliographie d’environ 20 titres.</w:t>
      </w:r>
    </w:p>
    <w:p w14:paraId="37986FFE" w14:textId="108A9E01" w:rsidR="00A34DEF" w:rsidRPr="00391579" w:rsidRDefault="00A34DEF" w:rsidP="001151CA">
      <w:pPr>
        <w:numPr>
          <w:ilvl w:val="0"/>
          <w:numId w:val="2"/>
        </w:numPr>
        <w:tabs>
          <w:tab w:val="clear" w:pos="2160"/>
          <w:tab w:val="num" w:pos="709"/>
        </w:tabs>
        <w:ind w:left="709"/>
        <w:jc w:val="both"/>
        <w:rPr>
          <w:rFonts w:ascii="Garamond" w:hAnsi="Garamond"/>
          <w:color w:val="000000" w:themeColor="text1"/>
        </w:rPr>
      </w:pPr>
      <w:r w:rsidRPr="00391579">
        <w:rPr>
          <w:rFonts w:ascii="Garamond" w:hAnsi="Garamond"/>
          <w:color w:val="000000" w:themeColor="text1"/>
        </w:rPr>
        <w:t xml:space="preserve">Attestation </w:t>
      </w:r>
      <w:r w:rsidR="009D4F54" w:rsidRPr="00391579">
        <w:rPr>
          <w:rFonts w:ascii="Garamond" w:hAnsi="Garamond"/>
          <w:color w:val="000000" w:themeColor="text1"/>
        </w:rPr>
        <w:t>d</w:t>
      </w:r>
      <w:r w:rsidR="009D4F54">
        <w:rPr>
          <w:rFonts w:ascii="Garamond" w:hAnsi="Garamond"/>
          <w:color w:val="000000" w:themeColor="text1"/>
        </w:rPr>
        <w:t>u</w:t>
      </w:r>
      <w:r w:rsidR="009D4F54" w:rsidRPr="00391579">
        <w:rPr>
          <w:rFonts w:ascii="Garamond" w:hAnsi="Garamond"/>
          <w:color w:val="000000" w:themeColor="text1"/>
        </w:rPr>
        <w:t xml:space="preserve"> </w:t>
      </w:r>
      <w:r w:rsidRPr="00391579">
        <w:rPr>
          <w:rFonts w:ascii="Garamond" w:hAnsi="Garamond"/>
          <w:color w:val="000000" w:themeColor="text1"/>
        </w:rPr>
        <w:t xml:space="preserve">diplôme de </w:t>
      </w:r>
      <w:r w:rsidR="006D4523">
        <w:rPr>
          <w:rFonts w:ascii="Garamond" w:hAnsi="Garamond"/>
          <w:color w:val="000000" w:themeColor="text1"/>
        </w:rPr>
        <w:t>M</w:t>
      </w:r>
      <w:r w:rsidR="006D4523" w:rsidRPr="00391579">
        <w:rPr>
          <w:rFonts w:ascii="Garamond" w:hAnsi="Garamond"/>
          <w:color w:val="000000" w:themeColor="text1"/>
        </w:rPr>
        <w:t xml:space="preserve">aster </w:t>
      </w:r>
      <w:r w:rsidRPr="00391579">
        <w:rPr>
          <w:rFonts w:ascii="Garamond" w:hAnsi="Garamond"/>
          <w:color w:val="000000" w:themeColor="text1"/>
        </w:rPr>
        <w:t>ou équivalent, précisant obligatoirement la note et/ou la mention (à joindre au dossier, ultérieurement, pour régularisation, dès l’obtention en session de juin ou de septembre).</w:t>
      </w:r>
    </w:p>
    <w:p w14:paraId="6654E5F0" w14:textId="77777777" w:rsidR="00A34DEF" w:rsidRPr="00391579" w:rsidRDefault="00A34DEF" w:rsidP="001151CA">
      <w:pPr>
        <w:pStyle w:val="NormalWeb"/>
        <w:spacing w:before="0" w:beforeAutospacing="0" w:after="0" w:afterAutospacing="0"/>
        <w:jc w:val="both"/>
        <w:rPr>
          <w:rFonts w:ascii="Garamond" w:hAnsi="Garamond"/>
          <w:color w:val="000000" w:themeColor="text1"/>
        </w:rPr>
      </w:pPr>
    </w:p>
    <w:p w14:paraId="2D9D014E" w14:textId="0A4393DA" w:rsidR="008A26D1" w:rsidRPr="00391579" w:rsidRDefault="00A34DEF" w:rsidP="001151CA">
      <w:pPr>
        <w:pStyle w:val="NormalWeb"/>
        <w:spacing w:before="0" w:beforeAutospacing="0" w:after="0" w:afterAutospacing="0"/>
        <w:jc w:val="both"/>
        <w:rPr>
          <w:rFonts w:ascii="Garamond" w:hAnsi="Garamond"/>
          <w:bCs/>
          <w:color w:val="000000" w:themeColor="text1"/>
        </w:rPr>
      </w:pPr>
      <w:r w:rsidRPr="00391579">
        <w:rPr>
          <w:rFonts w:ascii="Garamond" w:hAnsi="Garamond"/>
          <w:color w:val="000000" w:themeColor="text1"/>
        </w:rPr>
        <w:t>Les candidat</w:t>
      </w:r>
      <w:r w:rsidR="00497C46">
        <w:rPr>
          <w:rFonts w:ascii="Garamond" w:hAnsi="Garamond"/>
          <w:color w:val="000000" w:themeColor="text1"/>
        </w:rPr>
        <w:t>(e)</w:t>
      </w:r>
      <w:r w:rsidRPr="00391579">
        <w:rPr>
          <w:rFonts w:ascii="Garamond" w:hAnsi="Garamond"/>
          <w:color w:val="000000" w:themeColor="text1"/>
        </w:rPr>
        <w:t>s ont jusqu</w:t>
      </w:r>
      <w:r w:rsidR="0010219F" w:rsidRPr="00391579">
        <w:rPr>
          <w:rFonts w:ascii="Garamond" w:hAnsi="Garamond"/>
          <w:color w:val="000000" w:themeColor="text1"/>
        </w:rPr>
        <w:t>’</w:t>
      </w:r>
      <w:r w:rsidRPr="00391579">
        <w:rPr>
          <w:rFonts w:ascii="Garamond" w:hAnsi="Garamond"/>
          <w:color w:val="000000" w:themeColor="text1"/>
        </w:rPr>
        <w:t>au</w:t>
      </w:r>
      <w:r w:rsidRPr="00391579">
        <w:rPr>
          <w:rStyle w:val="lev"/>
          <w:rFonts w:ascii="Garamond" w:eastAsiaTheme="majorEastAsia" w:hAnsi="Garamond"/>
          <w:color w:val="000000" w:themeColor="text1"/>
        </w:rPr>
        <w:t xml:space="preserve"> </w:t>
      </w:r>
      <w:r w:rsidR="000F6E34" w:rsidRPr="00441D0D">
        <w:rPr>
          <w:rStyle w:val="lev"/>
          <w:rFonts w:ascii="Garamond" w:eastAsiaTheme="majorEastAsia" w:hAnsi="Garamond"/>
          <w:bCs w:val="0"/>
          <w:color w:val="C00000"/>
        </w:rPr>
        <w:t>d</w:t>
      </w:r>
      <w:r w:rsidRPr="00441D0D">
        <w:rPr>
          <w:rStyle w:val="lev"/>
          <w:rFonts w:ascii="Garamond" w:eastAsiaTheme="majorEastAsia" w:hAnsi="Garamond"/>
          <w:bCs w:val="0"/>
          <w:color w:val="C00000"/>
        </w:rPr>
        <w:t xml:space="preserve">imanche </w:t>
      </w:r>
      <w:r w:rsidR="00B82E8B" w:rsidRPr="00441D0D">
        <w:rPr>
          <w:rStyle w:val="lev"/>
          <w:rFonts w:ascii="Garamond" w:eastAsiaTheme="majorEastAsia" w:hAnsi="Garamond"/>
          <w:bCs w:val="0"/>
          <w:color w:val="C00000"/>
        </w:rPr>
        <w:t>18 mai</w:t>
      </w:r>
      <w:r w:rsidRPr="00441D0D">
        <w:rPr>
          <w:rStyle w:val="lev"/>
          <w:rFonts w:ascii="Garamond" w:eastAsiaTheme="majorEastAsia" w:hAnsi="Garamond"/>
          <w:bCs w:val="0"/>
          <w:color w:val="C00000"/>
        </w:rPr>
        <w:t xml:space="preserve"> 202</w:t>
      </w:r>
      <w:r w:rsidR="00046C5F" w:rsidRPr="00441D0D">
        <w:rPr>
          <w:rStyle w:val="lev"/>
          <w:rFonts w:ascii="Garamond" w:eastAsiaTheme="majorEastAsia" w:hAnsi="Garamond"/>
          <w:bCs w:val="0"/>
          <w:color w:val="C00000"/>
        </w:rPr>
        <w:t>5</w:t>
      </w:r>
      <w:r w:rsidR="0094450B" w:rsidRPr="00441D0D">
        <w:rPr>
          <w:rStyle w:val="lev"/>
          <w:rFonts w:ascii="Garamond" w:eastAsiaTheme="majorEastAsia" w:hAnsi="Garamond"/>
          <w:bCs w:val="0"/>
          <w:color w:val="C00000"/>
        </w:rPr>
        <w:t xml:space="preserve">, </w:t>
      </w:r>
      <w:r w:rsidR="008A4F5F" w:rsidRPr="00441D0D">
        <w:rPr>
          <w:rStyle w:val="lev"/>
          <w:rFonts w:ascii="Garamond" w:eastAsiaTheme="majorEastAsia" w:hAnsi="Garamond"/>
          <w:bCs w:val="0"/>
          <w:color w:val="C00000"/>
        </w:rPr>
        <w:t>23h59</w:t>
      </w:r>
      <w:r w:rsidR="008A4F5F" w:rsidRPr="00441D0D">
        <w:rPr>
          <w:rFonts w:ascii="Garamond" w:hAnsi="Garamond"/>
          <w:color w:val="C00000"/>
        </w:rPr>
        <w:t xml:space="preserve"> </w:t>
      </w:r>
      <w:r w:rsidRPr="00391579">
        <w:rPr>
          <w:rFonts w:ascii="Garamond" w:hAnsi="Garamond"/>
          <w:color w:val="000000" w:themeColor="text1"/>
        </w:rPr>
        <w:t xml:space="preserve">pour envoyer les dossiers sous forme électronique au format </w:t>
      </w:r>
      <w:proofErr w:type="spellStart"/>
      <w:r w:rsidRPr="00391579">
        <w:rPr>
          <w:rFonts w:ascii="Garamond" w:hAnsi="Garamond"/>
          <w:color w:val="000000" w:themeColor="text1"/>
        </w:rPr>
        <w:t>pdf</w:t>
      </w:r>
      <w:proofErr w:type="spellEnd"/>
      <w:r w:rsidRPr="00391579">
        <w:rPr>
          <w:rFonts w:ascii="Garamond" w:hAnsi="Garamond"/>
          <w:color w:val="000000" w:themeColor="text1"/>
        </w:rPr>
        <w:t xml:space="preserve"> à </w:t>
      </w:r>
      <w:r w:rsidR="008A26D1" w:rsidRPr="00391579">
        <w:rPr>
          <w:rFonts w:ascii="Garamond" w:hAnsi="Garamond"/>
          <w:color w:val="000000" w:themeColor="text1"/>
        </w:rPr>
        <w:t xml:space="preserve">l’adresse suivante : </w:t>
      </w:r>
      <w:hyperlink r:id="rId19" w:history="1">
        <w:r w:rsidR="008A26D1" w:rsidRPr="00391579">
          <w:rPr>
            <w:rStyle w:val="Lienhypertexte"/>
            <w:rFonts w:ascii="Garamond" w:hAnsi="Garamond"/>
            <w:bCs/>
          </w:rPr>
          <w:t>contact@fab-antique.fr</w:t>
        </w:r>
      </w:hyperlink>
    </w:p>
    <w:p w14:paraId="0FE5DF53" w14:textId="77777777" w:rsidR="000F6E34" w:rsidRPr="00391579" w:rsidRDefault="000F6E34" w:rsidP="001151CA">
      <w:pPr>
        <w:jc w:val="both"/>
        <w:rPr>
          <w:rFonts w:ascii="Garamond" w:hAnsi="Garamond"/>
          <w:color w:val="000000" w:themeColor="text1"/>
        </w:rPr>
      </w:pPr>
    </w:p>
    <w:p w14:paraId="34F85B97" w14:textId="5D8BBF00" w:rsidR="00844875" w:rsidRPr="00391579" w:rsidRDefault="00A34DEF" w:rsidP="001151CA">
      <w:pPr>
        <w:pStyle w:val="NormalWeb"/>
        <w:spacing w:before="0" w:beforeAutospacing="0" w:after="0" w:afterAutospacing="0"/>
        <w:jc w:val="both"/>
        <w:rPr>
          <w:rFonts w:ascii="Garamond" w:hAnsi="Garamond"/>
          <w:bCs/>
          <w:color w:val="000000" w:themeColor="text1"/>
        </w:rPr>
      </w:pPr>
      <w:r w:rsidRPr="00391579">
        <w:rPr>
          <w:rFonts w:ascii="Garamond" w:hAnsi="Garamond"/>
          <w:color w:val="000000" w:themeColor="text1"/>
        </w:rPr>
        <w:t xml:space="preserve">Les dossiers envoyés </w:t>
      </w:r>
      <w:r w:rsidR="00D10D11" w:rsidRPr="00391579">
        <w:rPr>
          <w:rFonts w:ascii="Garamond" w:hAnsi="Garamond"/>
          <w:color w:val="000000" w:themeColor="text1"/>
        </w:rPr>
        <w:t>ultérieurement</w:t>
      </w:r>
      <w:r w:rsidRPr="00391579">
        <w:rPr>
          <w:rFonts w:ascii="Garamond" w:hAnsi="Garamond"/>
          <w:color w:val="000000" w:themeColor="text1"/>
        </w:rPr>
        <w:t xml:space="preserve"> ne seront pas retenus</w:t>
      </w:r>
      <w:r w:rsidRPr="00391579">
        <w:rPr>
          <w:rFonts w:ascii="Garamond" w:hAnsi="Garamond"/>
          <w:bCs/>
          <w:color w:val="000000" w:themeColor="text1"/>
        </w:rPr>
        <w:t xml:space="preserve">. Tous les dossiers font l’objet d’un accusé de réception </w:t>
      </w:r>
      <w:r w:rsidRPr="00391579">
        <w:rPr>
          <w:rFonts w:ascii="Garamond" w:hAnsi="Garamond"/>
          <w:color w:val="000000" w:themeColor="text1"/>
        </w:rPr>
        <w:t>au plus tard une semaine après leur réception</w:t>
      </w:r>
      <w:r w:rsidR="00563872" w:rsidRPr="00391579">
        <w:rPr>
          <w:rFonts w:ascii="Garamond" w:hAnsi="Garamond"/>
          <w:bCs/>
          <w:color w:val="000000" w:themeColor="text1"/>
        </w:rPr>
        <w:t xml:space="preserve">. </w:t>
      </w:r>
    </w:p>
    <w:p w14:paraId="467554AF" w14:textId="77777777" w:rsidR="00A34DEF" w:rsidRPr="00391579" w:rsidRDefault="00A34DEF" w:rsidP="001151CA">
      <w:pPr>
        <w:jc w:val="both"/>
        <w:rPr>
          <w:rFonts w:ascii="Garamond" w:hAnsi="Garamond"/>
          <w:bCs/>
          <w:color w:val="000000" w:themeColor="text1"/>
        </w:rPr>
      </w:pPr>
    </w:p>
    <w:p w14:paraId="1E3EA367" w14:textId="77777777" w:rsidR="00A34DEF" w:rsidRPr="00391579" w:rsidRDefault="00A34DEF" w:rsidP="001151CA">
      <w:pPr>
        <w:jc w:val="both"/>
        <w:rPr>
          <w:rFonts w:ascii="Garamond" w:hAnsi="Garamond"/>
          <w:color w:val="000000" w:themeColor="text1"/>
          <w:u w:val="single"/>
        </w:rPr>
      </w:pPr>
    </w:p>
    <w:p w14:paraId="640F7A7C" w14:textId="77777777" w:rsidR="00A34DEF" w:rsidRPr="00391579" w:rsidRDefault="00A34DEF" w:rsidP="001151CA">
      <w:pPr>
        <w:pStyle w:val="NormalWeb"/>
        <w:spacing w:before="0" w:beforeAutospacing="0" w:after="0" w:afterAutospacing="0"/>
        <w:jc w:val="both"/>
        <w:rPr>
          <w:rStyle w:val="lev"/>
          <w:rFonts w:ascii="Garamond" w:eastAsiaTheme="majorEastAsia" w:hAnsi="Garamond"/>
          <w:color w:val="000000" w:themeColor="text1"/>
        </w:rPr>
      </w:pPr>
      <w:r w:rsidRPr="00391579">
        <w:rPr>
          <w:rStyle w:val="lev"/>
          <w:rFonts w:ascii="Garamond" w:eastAsiaTheme="majorEastAsia" w:hAnsi="Garamond"/>
          <w:color w:val="000000" w:themeColor="text1"/>
        </w:rPr>
        <w:t xml:space="preserve">L’AUDITION </w:t>
      </w:r>
    </w:p>
    <w:p w14:paraId="27C1211D" w14:textId="77777777" w:rsidR="00A34DEF" w:rsidRPr="00391579" w:rsidRDefault="00A34DEF" w:rsidP="001151CA">
      <w:pPr>
        <w:pStyle w:val="NormalWeb"/>
        <w:spacing w:before="0" w:beforeAutospacing="0" w:after="0" w:afterAutospacing="0"/>
        <w:jc w:val="both"/>
        <w:rPr>
          <w:rStyle w:val="lev"/>
          <w:rFonts w:ascii="Garamond" w:eastAsiaTheme="majorEastAsia" w:hAnsi="Garamond"/>
          <w:color w:val="000000" w:themeColor="text1"/>
        </w:rPr>
      </w:pPr>
    </w:p>
    <w:p w14:paraId="37202D47" w14:textId="4555773E" w:rsidR="00A34DEF" w:rsidRPr="00391579" w:rsidRDefault="00A34DEF" w:rsidP="001151CA">
      <w:pPr>
        <w:pStyle w:val="NormalWeb"/>
        <w:spacing w:before="0" w:beforeAutospacing="0" w:after="0" w:afterAutospacing="0"/>
        <w:jc w:val="both"/>
        <w:rPr>
          <w:rFonts w:ascii="Garamond" w:hAnsi="Garamond"/>
          <w:color w:val="000000" w:themeColor="text1"/>
        </w:rPr>
      </w:pPr>
      <w:r w:rsidRPr="00391579">
        <w:rPr>
          <w:rFonts w:ascii="Garamond" w:hAnsi="Garamond"/>
          <w:color w:val="000000" w:themeColor="text1"/>
        </w:rPr>
        <w:t>Les candidat</w:t>
      </w:r>
      <w:r w:rsidR="00497C46">
        <w:rPr>
          <w:rFonts w:ascii="Garamond" w:hAnsi="Garamond"/>
          <w:color w:val="000000" w:themeColor="text1"/>
        </w:rPr>
        <w:t>(e)</w:t>
      </w:r>
      <w:r w:rsidRPr="00391579">
        <w:rPr>
          <w:rFonts w:ascii="Garamond" w:hAnsi="Garamond"/>
          <w:color w:val="000000" w:themeColor="text1"/>
        </w:rPr>
        <w:t xml:space="preserve">s </w:t>
      </w:r>
      <w:r w:rsidR="009F55B6" w:rsidRPr="00391579">
        <w:rPr>
          <w:rFonts w:ascii="Garamond" w:hAnsi="Garamond"/>
          <w:color w:val="000000" w:themeColor="text1"/>
        </w:rPr>
        <w:t>jugé</w:t>
      </w:r>
      <w:r w:rsidR="00497C46">
        <w:rPr>
          <w:rFonts w:ascii="Garamond" w:hAnsi="Garamond"/>
          <w:color w:val="000000" w:themeColor="text1"/>
        </w:rPr>
        <w:t>(e)</w:t>
      </w:r>
      <w:r w:rsidR="009F55B6" w:rsidRPr="00391579">
        <w:rPr>
          <w:rFonts w:ascii="Garamond" w:hAnsi="Garamond"/>
          <w:color w:val="000000" w:themeColor="text1"/>
        </w:rPr>
        <w:t xml:space="preserve">s admissibles </w:t>
      </w:r>
      <w:r w:rsidRPr="00391579">
        <w:rPr>
          <w:rFonts w:ascii="Garamond" w:hAnsi="Garamond"/>
          <w:color w:val="000000" w:themeColor="text1"/>
        </w:rPr>
        <w:t>recevront</w:t>
      </w:r>
      <w:r w:rsidR="005860EC">
        <w:rPr>
          <w:rFonts w:ascii="Garamond" w:hAnsi="Garamond"/>
          <w:color w:val="000000" w:themeColor="text1"/>
        </w:rPr>
        <w:t>, le mardi 3 juin 2025,</w:t>
      </w:r>
      <w:r w:rsidRPr="00391579">
        <w:rPr>
          <w:rFonts w:ascii="Garamond" w:hAnsi="Garamond"/>
          <w:color w:val="000000" w:themeColor="text1"/>
        </w:rPr>
        <w:t xml:space="preserve"> une convocation pour l’audition</w:t>
      </w:r>
      <w:r w:rsidR="005860EC">
        <w:rPr>
          <w:rFonts w:ascii="Garamond" w:hAnsi="Garamond"/>
          <w:color w:val="000000" w:themeColor="text1"/>
        </w:rPr>
        <w:t>.</w:t>
      </w:r>
    </w:p>
    <w:p w14:paraId="414DEB9F" w14:textId="77777777" w:rsidR="00E95780" w:rsidRPr="00391579" w:rsidRDefault="00E95780" w:rsidP="001151CA">
      <w:pPr>
        <w:pStyle w:val="NormalWeb"/>
        <w:spacing w:before="0" w:beforeAutospacing="0" w:after="0" w:afterAutospacing="0"/>
        <w:jc w:val="both"/>
        <w:rPr>
          <w:rFonts w:ascii="Garamond" w:hAnsi="Garamond"/>
          <w:color w:val="000000" w:themeColor="text1"/>
        </w:rPr>
      </w:pPr>
    </w:p>
    <w:p w14:paraId="4AF48C0D" w14:textId="7540AAA2" w:rsidR="009347A7" w:rsidRPr="00FB5F5D" w:rsidRDefault="00A34DEF" w:rsidP="001151CA">
      <w:pPr>
        <w:pStyle w:val="NormalWeb"/>
        <w:spacing w:before="0" w:beforeAutospacing="0" w:after="0" w:afterAutospacing="0"/>
        <w:jc w:val="both"/>
        <w:rPr>
          <w:rFonts w:ascii="Garamond" w:hAnsi="Garamond"/>
          <w:b/>
          <w:bCs/>
          <w:color w:val="C00000"/>
        </w:rPr>
      </w:pPr>
      <w:r w:rsidRPr="00391579">
        <w:rPr>
          <w:rFonts w:ascii="Garamond" w:hAnsi="Garamond"/>
          <w:color w:val="000000" w:themeColor="text1"/>
        </w:rPr>
        <w:t>Les auditions auront lieu</w:t>
      </w:r>
      <w:r w:rsidR="00934906">
        <w:rPr>
          <w:rFonts w:ascii="Garamond" w:hAnsi="Garamond"/>
          <w:color w:val="000000" w:themeColor="text1"/>
        </w:rPr>
        <w:t xml:space="preserve"> à Paris,</w:t>
      </w:r>
      <w:r w:rsidRPr="00391579">
        <w:rPr>
          <w:rFonts w:ascii="Garamond" w:hAnsi="Garamond"/>
          <w:color w:val="000000" w:themeColor="text1"/>
        </w:rPr>
        <w:t xml:space="preserve"> devant le </w:t>
      </w:r>
      <w:r w:rsidR="000D46E9" w:rsidRPr="00391579">
        <w:rPr>
          <w:rFonts w:ascii="Garamond" w:hAnsi="Garamond"/>
          <w:color w:val="000000" w:themeColor="text1"/>
        </w:rPr>
        <w:t>Jury doctoral du programme “Les fabriqu</w:t>
      </w:r>
      <w:r w:rsidR="00E95780" w:rsidRPr="00391579">
        <w:rPr>
          <w:rFonts w:ascii="Garamond" w:hAnsi="Garamond"/>
          <w:color w:val="000000" w:themeColor="text1"/>
        </w:rPr>
        <w:t>e</w:t>
      </w:r>
      <w:r w:rsidR="000D46E9" w:rsidRPr="00391579">
        <w:rPr>
          <w:rFonts w:ascii="Garamond" w:hAnsi="Garamond"/>
          <w:color w:val="000000" w:themeColor="text1"/>
        </w:rPr>
        <w:t xml:space="preserve">s de l’antique” </w:t>
      </w:r>
      <w:r w:rsidR="00FB4E14" w:rsidRPr="00FB5F5D">
        <w:rPr>
          <w:rFonts w:ascii="Garamond" w:hAnsi="Garamond"/>
          <w:color w:val="000000" w:themeColor="text1"/>
        </w:rPr>
        <w:t>le</w:t>
      </w:r>
      <w:r w:rsidR="00FB4E14" w:rsidRPr="00FB5F5D">
        <w:rPr>
          <w:rFonts w:ascii="Garamond" w:hAnsi="Garamond"/>
          <w:b/>
          <w:bCs/>
          <w:color w:val="C00000"/>
        </w:rPr>
        <w:t xml:space="preserve"> </w:t>
      </w:r>
      <w:r w:rsidR="00E02C37" w:rsidRPr="00FB5F5D">
        <w:rPr>
          <w:rFonts w:ascii="Garamond" w:hAnsi="Garamond"/>
          <w:b/>
          <w:bCs/>
          <w:color w:val="C00000"/>
        </w:rPr>
        <w:t>mardi 17 juin 2025</w:t>
      </w:r>
      <w:r w:rsidR="00BC7CB5" w:rsidRPr="00FB5F5D">
        <w:rPr>
          <w:rFonts w:ascii="Garamond" w:hAnsi="Garamond"/>
          <w:b/>
          <w:bCs/>
          <w:color w:val="C00000"/>
        </w:rPr>
        <w:t xml:space="preserve">. </w:t>
      </w:r>
    </w:p>
    <w:p w14:paraId="3528E767" w14:textId="77777777" w:rsidR="008A73B3" w:rsidRPr="00391579" w:rsidRDefault="008A73B3" w:rsidP="001151CA">
      <w:pPr>
        <w:pStyle w:val="NormalWeb"/>
        <w:spacing w:before="0" w:beforeAutospacing="0" w:after="0" w:afterAutospacing="0"/>
        <w:jc w:val="both"/>
        <w:rPr>
          <w:rFonts w:ascii="Garamond" w:hAnsi="Garamond"/>
          <w:color w:val="000000" w:themeColor="text1"/>
        </w:rPr>
      </w:pPr>
    </w:p>
    <w:p w14:paraId="12A45C41" w14:textId="47F89F39" w:rsidR="00391579" w:rsidRPr="00391579" w:rsidRDefault="00A34DEF" w:rsidP="001151CA">
      <w:pPr>
        <w:pStyle w:val="NormalWeb"/>
        <w:spacing w:before="0" w:beforeAutospacing="0" w:after="0" w:afterAutospacing="0"/>
        <w:jc w:val="both"/>
        <w:rPr>
          <w:rFonts w:ascii="Garamond" w:hAnsi="Garamond"/>
          <w:color w:val="000000" w:themeColor="text1"/>
        </w:rPr>
      </w:pPr>
      <w:r w:rsidRPr="00132798">
        <w:rPr>
          <w:rFonts w:ascii="Garamond" w:hAnsi="Garamond"/>
          <w:color w:val="000000" w:themeColor="text1"/>
        </w:rPr>
        <w:t xml:space="preserve">Une audition par visioconférence est possible pour </w:t>
      </w:r>
      <w:proofErr w:type="gramStart"/>
      <w:r w:rsidRPr="00132798">
        <w:rPr>
          <w:rFonts w:ascii="Garamond" w:hAnsi="Garamond"/>
          <w:color w:val="000000" w:themeColor="text1"/>
        </w:rPr>
        <w:t>les candidat</w:t>
      </w:r>
      <w:proofErr w:type="gramEnd"/>
      <w:r w:rsidR="006D4523" w:rsidRPr="00132798">
        <w:rPr>
          <w:rFonts w:ascii="Garamond" w:hAnsi="Garamond"/>
          <w:color w:val="000000" w:themeColor="text1"/>
        </w:rPr>
        <w:t>(e)</w:t>
      </w:r>
      <w:r w:rsidRPr="00132798">
        <w:rPr>
          <w:rFonts w:ascii="Garamond" w:hAnsi="Garamond"/>
          <w:color w:val="000000" w:themeColor="text1"/>
        </w:rPr>
        <w:t>s dont le domicile se situe hors</w:t>
      </w:r>
      <w:r w:rsidR="00E95780" w:rsidRPr="00132798">
        <w:rPr>
          <w:rFonts w:ascii="Garamond" w:hAnsi="Garamond"/>
          <w:color w:val="000000" w:themeColor="text1"/>
        </w:rPr>
        <w:t xml:space="preserve"> </w:t>
      </w:r>
      <w:r w:rsidRPr="00132798">
        <w:rPr>
          <w:rFonts w:ascii="Garamond" w:hAnsi="Garamond"/>
          <w:color w:val="000000" w:themeColor="text1"/>
        </w:rPr>
        <w:t>France métropolitaine et qui ne sont pas inscrit</w:t>
      </w:r>
      <w:r w:rsidR="006D4523" w:rsidRPr="00132798">
        <w:rPr>
          <w:rFonts w:ascii="Garamond" w:hAnsi="Garamond"/>
          <w:color w:val="000000" w:themeColor="text1"/>
        </w:rPr>
        <w:t>(e)</w:t>
      </w:r>
      <w:r w:rsidRPr="00132798">
        <w:rPr>
          <w:rFonts w:ascii="Garamond" w:hAnsi="Garamond"/>
          <w:color w:val="000000" w:themeColor="text1"/>
        </w:rPr>
        <w:t>s dans un cursus universitaire en France métropolitaine.</w:t>
      </w:r>
    </w:p>
    <w:p w14:paraId="7684B9AB" w14:textId="77777777" w:rsidR="00391579" w:rsidRPr="00391579" w:rsidRDefault="00391579" w:rsidP="001151CA">
      <w:pPr>
        <w:pStyle w:val="NormalWeb"/>
        <w:spacing w:before="0" w:beforeAutospacing="0" w:after="0" w:afterAutospacing="0"/>
        <w:jc w:val="both"/>
        <w:rPr>
          <w:rFonts w:ascii="Garamond" w:hAnsi="Garamond"/>
          <w:color w:val="000000" w:themeColor="text1"/>
        </w:rPr>
      </w:pPr>
    </w:p>
    <w:p w14:paraId="3E9862CC" w14:textId="7384F839" w:rsidR="00A34DEF" w:rsidRPr="00391579" w:rsidRDefault="00A34DEF" w:rsidP="001151CA">
      <w:pPr>
        <w:pStyle w:val="NormalWeb"/>
        <w:spacing w:before="0" w:beforeAutospacing="0" w:after="0" w:afterAutospacing="0"/>
        <w:jc w:val="both"/>
        <w:rPr>
          <w:rFonts w:ascii="Garamond" w:hAnsi="Garamond"/>
          <w:color w:val="000000" w:themeColor="text1"/>
        </w:rPr>
      </w:pPr>
      <w:r w:rsidRPr="00391579">
        <w:rPr>
          <w:rFonts w:ascii="Garamond" w:hAnsi="Garamond"/>
          <w:color w:val="000000" w:themeColor="text1"/>
        </w:rPr>
        <w:t>La sélection des candidat</w:t>
      </w:r>
      <w:r w:rsidR="000B00B5">
        <w:rPr>
          <w:rFonts w:ascii="Garamond" w:hAnsi="Garamond"/>
          <w:color w:val="000000" w:themeColor="text1"/>
        </w:rPr>
        <w:t>(e)</w:t>
      </w:r>
      <w:r w:rsidRPr="00391579">
        <w:rPr>
          <w:rFonts w:ascii="Garamond" w:hAnsi="Garamond"/>
          <w:color w:val="000000" w:themeColor="text1"/>
        </w:rPr>
        <w:t>s sera établie en fonction des critères suivants :</w:t>
      </w:r>
    </w:p>
    <w:p w14:paraId="3102FF80" w14:textId="77777777" w:rsidR="00A34DEF" w:rsidRPr="00391579" w:rsidRDefault="00A34DEF" w:rsidP="001151CA">
      <w:pPr>
        <w:pStyle w:val="NormalWeb"/>
        <w:spacing w:before="0" w:beforeAutospacing="0" w:after="0" w:afterAutospacing="0"/>
        <w:jc w:val="both"/>
        <w:rPr>
          <w:rFonts w:ascii="Garamond" w:hAnsi="Garamond"/>
          <w:color w:val="000000" w:themeColor="text1"/>
        </w:rPr>
      </w:pPr>
    </w:p>
    <w:p w14:paraId="460F18DA" w14:textId="2F004D71" w:rsidR="008A73B3" w:rsidRDefault="008A73B3" w:rsidP="001151CA">
      <w:pPr>
        <w:numPr>
          <w:ilvl w:val="0"/>
          <w:numId w:val="3"/>
        </w:numPr>
        <w:jc w:val="both"/>
        <w:rPr>
          <w:rFonts w:ascii="Garamond" w:hAnsi="Garamond"/>
          <w:color w:val="000000" w:themeColor="text1"/>
        </w:rPr>
      </w:pPr>
      <w:r w:rsidRPr="00391579">
        <w:rPr>
          <w:rFonts w:ascii="Garamond" w:hAnsi="Garamond"/>
          <w:color w:val="000000" w:themeColor="text1"/>
        </w:rPr>
        <w:t>L’adéquation du projet de thèse aux thématiques du programme “Les fabriques de l’antique”</w:t>
      </w:r>
      <w:r w:rsidR="00491A4C" w:rsidRPr="00391579">
        <w:rPr>
          <w:rFonts w:ascii="Garamond" w:hAnsi="Garamond"/>
          <w:color w:val="000000" w:themeColor="text1"/>
        </w:rPr>
        <w:t xml:space="preserve"> et son insertion dans l’un des trois axes de celui-ci</w:t>
      </w:r>
      <w:r w:rsidR="00F47DA6">
        <w:rPr>
          <w:rFonts w:ascii="Garamond" w:hAnsi="Garamond"/>
          <w:color w:val="000000" w:themeColor="text1"/>
        </w:rPr>
        <w:t> ;</w:t>
      </w:r>
    </w:p>
    <w:p w14:paraId="3F2FD8B7" w14:textId="0EB1E9BE" w:rsidR="00B42859" w:rsidRPr="00B42859" w:rsidRDefault="00B42859" w:rsidP="001151CA">
      <w:pPr>
        <w:numPr>
          <w:ilvl w:val="0"/>
          <w:numId w:val="3"/>
        </w:numPr>
        <w:jc w:val="both"/>
        <w:rPr>
          <w:rFonts w:ascii="Garamond" w:hAnsi="Garamond"/>
          <w:color w:val="000000" w:themeColor="text1"/>
        </w:rPr>
      </w:pPr>
      <w:r w:rsidRPr="00391579">
        <w:rPr>
          <w:rFonts w:ascii="Garamond" w:hAnsi="Garamond"/>
          <w:color w:val="000000" w:themeColor="text1"/>
        </w:rPr>
        <w:t>La qualité du cursus du candidat</w:t>
      </w:r>
      <w:r w:rsidR="00F47DA6">
        <w:rPr>
          <w:rFonts w:ascii="Garamond" w:hAnsi="Garamond"/>
          <w:color w:val="000000" w:themeColor="text1"/>
        </w:rPr>
        <w:t> ;</w:t>
      </w:r>
    </w:p>
    <w:p w14:paraId="287BC670" w14:textId="45C3B62D" w:rsidR="00A34DEF" w:rsidRPr="00391579" w:rsidRDefault="00A34DEF" w:rsidP="001151CA">
      <w:pPr>
        <w:numPr>
          <w:ilvl w:val="0"/>
          <w:numId w:val="3"/>
        </w:numPr>
        <w:jc w:val="both"/>
        <w:rPr>
          <w:rFonts w:ascii="Garamond" w:hAnsi="Garamond"/>
          <w:color w:val="000000" w:themeColor="text1"/>
        </w:rPr>
      </w:pPr>
      <w:r w:rsidRPr="00391579">
        <w:rPr>
          <w:rFonts w:ascii="Garamond" w:hAnsi="Garamond"/>
          <w:color w:val="000000" w:themeColor="text1"/>
        </w:rPr>
        <w:t>La qualité du projet de thèse et de sa présentation orale par le candidat.</w:t>
      </w:r>
    </w:p>
    <w:p w14:paraId="3A0C193D" w14:textId="77777777" w:rsidR="00A34DEF" w:rsidRPr="00391579" w:rsidRDefault="00A34DEF" w:rsidP="001151CA">
      <w:pPr>
        <w:pStyle w:val="NormalWeb"/>
        <w:spacing w:before="0" w:beforeAutospacing="0" w:after="0" w:afterAutospacing="0"/>
        <w:ind w:left="720"/>
        <w:jc w:val="both"/>
        <w:rPr>
          <w:rFonts w:ascii="Garamond" w:hAnsi="Garamond"/>
          <w:color w:val="000000" w:themeColor="text1"/>
        </w:rPr>
      </w:pPr>
    </w:p>
    <w:p w14:paraId="6033E757" w14:textId="77777777" w:rsidR="00A34DEF" w:rsidRPr="00391579" w:rsidRDefault="00A34DEF" w:rsidP="001151CA">
      <w:pPr>
        <w:jc w:val="both"/>
        <w:rPr>
          <w:rFonts w:ascii="Garamond" w:hAnsi="Garamond"/>
          <w:color w:val="000000" w:themeColor="text1"/>
        </w:rPr>
      </w:pPr>
    </w:p>
    <w:p w14:paraId="423EE539" w14:textId="69510F85" w:rsidR="00A34DEF" w:rsidRPr="00391579" w:rsidRDefault="00A34DEF" w:rsidP="001151CA">
      <w:pPr>
        <w:jc w:val="both"/>
        <w:rPr>
          <w:rFonts w:ascii="Garamond" w:hAnsi="Garamond"/>
          <w:bCs/>
          <w:color w:val="000000" w:themeColor="text1"/>
        </w:rPr>
      </w:pPr>
      <w:r w:rsidRPr="00391579">
        <w:rPr>
          <w:rFonts w:ascii="Garamond" w:hAnsi="Garamond"/>
          <w:bCs/>
          <w:color w:val="000000" w:themeColor="text1"/>
        </w:rPr>
        <w:t xml:space="preserve">Les résultats seront communiqués par </w:t>
      </w:r>
      <w:proofErr w:type="gramStart"/>
      <w:r w:rsidR="00391579">
        <w:rPr>
          <w:rFonts w:ascii="Garamond" w:hAnsi="Garamond"/>
          <w:bCs/>
          <w:color w:val="000000" w:themeColor="text1"/>
        </w:rPr>
        <w:t>e-</w:t>
      </w:r>
      <w:r w:rsidRPr="00391579">
        <w:rPr>
          <w:rFonts w:ascii="Garamond" w:hAnsi="Garamond"/>
          <w:bCs/>
          <w:color w:val="000000" w:themeColor="text1"/>
        </w:rPr>
        <w:t>mail</w:t>
      </w:r>
      <w:proofErr w:type="gramEnd"/>
      <w:r w:rsidRPr="00391579">
        <w:rPr>
          <w:rFonts w:ascii="Garamond" w:hAnsi="Garamond"/>
          <w:bCs/>
          <w:color w:val="000000" w:themeColor="text1"/>
        </w:rPr>
        <w:t xml:space="preserve"> uniquement à partir du </w:t>
      </w:r>
      <w:r w:rsidR="00391579" w:rsidRPr="00FB5F5D">
        <w:rPr>
          <w:rFonts w:ascii="Garamond" w:hAnsi="Garamond"/>
          <w:bCs/>
          <w:color w:val="000000" w:themeColor="text1"/>
        </w:rPr>
        <w:t>18</w:t>
      </w:r>
      <w:r w:rsidRPr="00FB5F5D">
        <w:rPr>
          <w:rFonts w:ascii="Garamond" w:hAnsi="Garamond"/>
          <w:bCs/>
          <w:color w:val="000000" w:themeColor="text1"/>
        </w:rPr>
        <w:t xml:space="preserve"> juin 2024</w:t>
      </w:r>
      <w:r w:rsidR="00391579" w:rsidRPr="00FB5F5D">
        <w:rPr>
          <w:rFonts w:ascii="Garamond" w:hAnsi="Garamond"/>
          <w:bCs/>
          <w:color w:val="000000" w:themeColor="text1"/>
        </w:rPr>
        <w:t>.</w:t>
      </w:r>
    </w:p>
    <w:p w14:paraId="455F9F16" w14:textId="77777777" w:rsidR="00D6358E" w:rsidRDefault="00D6358E" w:rsidP="001151CA">
      <w:pPr>
        <w:jc w:val="both"/>
        <w:rPr>
          <w:rFonts w:ascii="Garamond" w:hAnsi="Garamond"/>
          <w:color w:val="000000" w:themeColor="text1"/>
        </w:rPr>
      </w:pPr>
    </w:p>
    <w:p w14:paraId="22C318CC" w14:textId="6F75FB20" w:rsidR="00C65D67" w:rsidRDefault="00C65D67" w:rsidP="001151CA">
      <w:pPr>
        <w:pBdr>
          <w:bottom w:val="single" w:sz="6" w:space="1" w:color="auto"/>
        </w:pBdr>
        <w:jc w:val="both"/>
        <w:rPr>
          <w:rFonts w:ascii="Garamond" w:hAnsi="Garamond"/>
          <w:color w:val="000000" w:themeColor="text1"/>
        </w:rPr>
      </w:pPr>
    </w:p>
    <w:p w14:paraId="6FF25E09" w14:textId="77777777" w:rsidR="00B83409" w:rsidRDefault="00B83409" w:rsidP="001151CA">
      <w:pPr>
        <w:jc w:val="both"/>
        <w:rPr>
          <w:rFonts w:ascii="Garamond" w:hAnsi="Garamond"/>
          <w:color w:val="000000" w:themeColor="text1"/>
        </w:rPr>
      </w:pPr>
    </w:p>
    <w:p w14:paraId="0B1F76FA" w14:textId="77777777" w:rsidR="006437B5" w:rsidRDefault="006437B5" w:rsidP="001151CA">
      <w:pPr>
        <w:jc w:val="both"/>
        <w:rPr>
          <w:rFonts w:ascii="Garamond" w:hAnsi="Garamond"/>
          <w:color w:val="000000" w:themeColor="text1"/>
        </w:rPr>
      </w:pPr>
    </w:p>
    <w:p w14:paraId="02220146" w14:textId="77777777" w:rsidR="00351A00" w:rsidRDefault="00351A00" w:rsidP="001151CA">
      <w:pPr>
        <w:jc w:val="both"/>
        <w:rPr>
          <w:rFonts w:ascii="Garamond" w:hAnsi="Garamond"/>
          <w:color w:val="000000" w:themeColor="text1"/>
        </w:rPr>
      </w:pPr>
    </w:p>
    <w:p w14:paraId="4F9D1A4F" w14:textId="77777777" w:rsidR="00F47DA6" w:rsidRPr="00B83409" w:rsidRDefault="00F47DA6" w:rsidP="00B83409">
      <w:pPr>
        <w:pBdr>
          <w:top w:val="single" w:sz="24" w:space="1" w:color="E6DFCF"/>
          <w:left w:val="single" w:sz="24" w:space="4" w:color="E6DFCF"/>
          <w:bottom w:val="single" w:sz="24" w:space="1" w:color="E6DFCF"/>
          <w:right w:val="single" w:sz="24" w:space="4" w:color="E6DFCF"/>
        </w:pBdr>
        <w:jc w:val="both"/>
        <w:rPr>
          <w:rFonts w:ascii="Garamond" w:hAnsi="Garamond"/>
          <w:color w:val="C00000"/>
        </w:rPr>
      </w:pPr>
    </w:p>
    <w:p w14:paraId="752CC5FD" w14:textId="5EE7E677" w:rsidR="00C65D67" w:rsidRPr="006437B5" w:rsidRDefault="00C65D67" w:rsidP="00B83409">
      <w:pPr>
        <w:keepNext/>
        <w:pBdr>
          <w:top w:val="single" w:sz="24" w:space="1" w:color="E6DFCF"/>
          <w:left w:val="single" w:sz="24" w:space="4" w:color="E6DFCF"/>
          <w:bottom w:val="single" w:sz="24" w:space="1" w:color="E6DFCF"/>
          <w:right w:val="single" w:sz="24" w:space="4" w:color="E6DFCF"/>
        </w:pBdr>
        <w:jc w:val="center"/>
        <w:rPr>
          <w:rFonts w:ascii="Garamond" w:hAnsi="Garamond"/>
          <w:b/>
          <w:smallCaps/>
          <w:color w:val="C00000"/>
          <w:sz w:val="28"/>
          <w:szCs w:val="28"/>
        </w:rPr>
      </w:pPr>
      <w:r w:rsidRPr="006437B5">
        <w:rPr>
          <w:rFonts w:ascii="Garamond" w:hAnsi="Garamond"/>
          <w:b/>
          <w:smallCaps/>
          <w:color w:val="C00000"/>
          <w:sz w:val="28"/>
          <w:szCs w:val="28"/>
        </w:rPr>
        <w:t>Le grand programme de recherche</w:t>
      </w:r>
      <w:r w:rsidR="00B83409" w:rsidRPr="006437B5">
        <w:rPr>
          <w:rFonts w:ascii="Garamond" w:hAnsi="Garamond"/>
          <w:b/>
          <w:smallCaps/>
          <w:color w:val="C00000"/>
          <w:sz w:val="28"/>
          <w:szCs w:val="28"/>
        </w:rPr>
        <w:t xml:space="preserve"> PSL</w:t>
      </w:r>
      <w:r w:rsidRPr="006437B5">
        <w:rPr>
          <w:rFonts w:ascii="Garamond" w:hAnsi="Garamond"/>
          <w:b/>
          <w:smallCaps/>
          <w:color w:val="C00000"/>
          <w:sz w:val="28"/>
          <w:szCs w:val="28"/>
        </w:rPr>
        <w:t xml:space="preserve"> “Les fabriques de l’antique”</w:t>
      </w:r>
    </w:p>
    <w:p w14:paraId="2E174B03" w14:textId="77777777" w:rsidR="00B83409" w:rsidRPr="00B83409" w:rsidRDefault="00B83409" w:rsidP="00DD1DA9">
      <w:pPr>
        <w:keepNext/>
        <w:pBdr>
          <w:top w:val="single" w:sz="24" w:space="1" w:color="E6DFCF"/>
          <w:left w:val="single" w:sz="24" w:space="4" w:color="E6DFCF"/>
          <w:bottom w:val="single" w:sz="24" w:space="1" w:color="E6DFCF"/>
          <w:right w:val="single" w:sz="24" w:space="4" w:color="E6DFCF"/>
        </w:pBdr>
        <w:rPr>
          <w:rFonts w:ascii="Garamond" w:hAnsi="Garamond"/>
          <w:b/>
          <w:smallCaps/>
          <w:color w:val="C00000"/>
        </w:rPr>
      </w:pPr>
    </w:p>
    <w:p w14:paraId="71121D47" w14:textId="77777777" w:rsidR="00F47DA6" w:rsidRPr="00C65D67" w:rsidRDefault="00F47DA6" w:rsidP="001151CA">
      <w:pPr>
        <w:keepNext/>
        <w:jc w:val="center"/>
        <w:rPr>
          <w:rFonts w:ascii="Garamond" w:hAnsi="Garamond"/>
          <w:b/>
          <w:smallCaps/>
          <w:color w:val="000000" w:themeColor="text1"/>
        </w:rPr>
      </w:pPr>
    </w:p>
    <w:p w14:paraId="1EFAAD27" w14:textId="77777777" w:rsidR="0033510B" w:rsidRDefault="0033510B" w:rsidP="001151CA">
      <w:pPr>
        <w:keepNext/>
        <w:jc w:val="both"/>
        <w:rPr>
          <w:rFonts w:ascii="Garamond" w:hAnsi="Garamond"/>
          <w:color w:val="000000" w:themeColor="text1"/>
        </w:rPr>
      </w:pPr>
    </w:p>
    <w:p w14:paraId="3F1E984A" w14:textId="4CDF08D4" w:rsidR="006D4523" w:rsidRDefault="006D4523" w:rsidP="001151CA">
      <w:pPr>
        <w:jc w:val="both"/>
        <w:rPr>
          <w:rFonts w:ascii="Garamond" w:hAnsi="Garamond"/>
          <w:color w:val="000000" w:themeColor="text1"/>
        </w:rPr>
      </w:pPr>
      <w:r>
        <w:rPr>
          <w:rFonts w:ascii="Garamond" w:hAnsi="Garamond"/>
          <w:color w:val="000000" w:themeColor="text1"/>
        </w:rPr>
        <w:t>Le Grand Programme de Recherche</w:t>
      </w:r>
      <w:r w:rsidR="0033510B">
        <w:rPr>
          <w:rFonts w:ascii="Garamond" w:hAnsi="Garamond"/>
          <w:color w:val="000000" w:themeColor="text1"/>
        </w:rPr>
        <w:t xml:space="preserve"> (GPR)</w:t>
      </w:r>
      <w:r>
        <w:rPr>
          <w:rFonts w:ascii="Garamond" w:hAnsi="Garamond"/>
          <w:color w:val="000000" w:themeColor="text1"/>
        </w:rPr>
        <w:t xml:space="preserve"> “Les fabriques de l’antique”, dont les activités se déroulent sur la période 2025-2029, possède une triple vocation transdisciplinaire, “trans-aréale” et comparative. Il analyse les modalités de construction de l’“antique”, et donc également du “classique”, voire du “primordial”, dans toutes les cultures et sociétés africaines, américaines, eurasiennes et océaniques, et ce à toutes les époques. Le Grand Programme s’articule autour de trois axes principaux. </w:t>
      </w:r>
      <w:proofErr w:type="gramStart"/>
      <w:r>
        <w:rPr>
          <w:rFonts w:ascii="Garamond" w:hAnsi="Garamond"/>
          <w:color w:val="000000" w:themeColor="text1"/>
        </w:rPr>
        <w:t>Le premier porte</w:t>
      </w:r>
      <w:proofErr w:type="gramEnd"/>
      <w:r>
        <w:rPr>
          <w:rFonts w:ascii="Garamond" w:hAnsi="Garamond"/>
          <w:color w:val="000000" w:themeColor="text1"/>
        </w:rPr>
        <w:t xml:space="preserve"> sur les “régimes d’historicité”, c’est-à-dire sur la façon dont les différentes sociétés construisent le temps et s’y situent, avec les modalités corrélatives de périodisation</w:t>
      </w:r>
      <w:r w:rsidR="00F51044">
        <w:rPr>
          <w:rFonts w:ascii="Garamond" w:hAnsi="Garamond"/>
          <w:color w:val="000000" w:themeColor="text1"/>
        </w:rPr>
        <w:t xml:space="preserve">. Le second axe s’intéresse aux mécanismes présidant à la réception, à l’interprétation et à la construction, par une société donnée, de l’antique dans sa dimension exemplaire et normative. Quant au troisième axe, il prend pour objet le façonnement linguistique du monde, avec un intérêt particulier pour les écritures. Le Programme “Les </w:t>
      </w:r>
      <w:r w:rsidR="002A265C">
        <w:rPr>
          <w:rFonts w:ascii="Garamond" w:hAnsi="Garamond"/>
          <w:color w:val="000000" w:themeColor="text1"/>
        </w:rPr>
        <w:t>f</w:t>
      </w:r>
      <w:r w:rsidR="00F51044">
        <w:rPr>
          <w:rFonts w:ascii="Garamond" w:hAnsi="Garamond"/>
          <w:color w:val="000000" w:themeColor="text1"/>
        </w:rPr>
        <w:t xml:space="preserve">abriques de l’antique” œuvre au dialogue entre disciplines et aires culturelles, en particulier celles que les pratiques et habitudes institutionnelles tendent à isoler les unes des autres, et mobilise de multiples institutions de recherche et d’enseignement, des musées ainsi que le réseau des Écoles françaises de l’étranger. Les candidat(e)s aux contrats doctoraux </w:t>
      </w:r>
      <w:r w:rsidR="005B3BC3">
        <w:rPr>
          <w:rFonts w:ascii="Garamond" w:hAnsi="Garamond"/>
          <w:color w:val="000000" w:themeColor="text1"/>
        </w:rPr>
        <w:t>auront acquis une spécialisation dans</w:t>
      </w:r>
      <w:r w:rsidR="00F51044">
        <w:rPr>
          <w:rFonts w:ascii="Garamond" w:hAnsi="Garamond"/>
          <w:color w:val="000000" w:themeColor="text1"/>
        </w:rPr>
        <w:t xml:space="preserve"> une ou plusieurs aire(</w:t>
      </w:r>
      <w:r w:rsidR="005B3BC3">
        <w:rPr>
          <w:rFonts w:ascii="Garamond" w:hAnsi="Garamond"/>
          <w:color w:val="000000" w:themeColor="text1"/>
        </w:rPr>
        <w:t>s</w:t>
      </w:r>
      <w:r w:rsidR="00F51044">
        <w:rPr>
          <w:rFonts w:ascii="Garamond" w:hAnsi="Garamond"/>
          <w:color w:val="000000" w:themeColor="text1"/>
        </w:rPr>
        <w:t xml:space="preserve">) </w:t>
      </w:r>
      <w:proofErr w:type="spellStart"/>
      <w:r w:rsidR="00F51044">
        <w:rPr>
          <w:rFonts w:ascii="Garamond" w:hAnsi="Garamond"/>
          <w:color w:val="000000" w:themeColor="text1"/>
        </w:rPr>
        <w:t>géo-culturelle</w:t>
      </w:r>
      <w:proofErr w:type="spellEnd"/>
      <w:r w:rsidR="00F51044">
        <w:rPr>
          <w:rFonts w:ascii="Garamond" w:hAnsi="Garamond"/>
          <w:color w:val="000000" w:themeColor="text1"/>
        </w:rPr>
        <w:t xml:space="preserve">(s) dont ils/elles maîtriseront l’histoire et, le cas échéant, </w:t>
      </w:r>
      <w:r w:rsidR="00517AAD">
        <w:rPr>
          <w:rFonts w:ascii="Garamond" w:hAnsi="Garamond"/>
          <w:color w:val="000000" w:themeColor="text1"/>
        </w:rPr>
        <w:t>l</w:t>
      </w:r>
      <w:r w:rsidR="00C541C8">
        <w:rPr>
          <w:rFonts w:ascii="Garamond" w:hAnsi="Garamond"/>
          <w:color w:val="000000" w:themeColor="text1"/>
        </w:rPr>
        <w:t>a/les</w:t>
      </w:r>
      <w:r w:rsidR="00517AAD">
        <w:rPr>
          <w:rFonts w:ascii="Garamond" w:hAnsi="Garamond"/>
          <w:color w:val="000000" w:themeColor="text1"/>
        </w:rPr>
        <w:t xml:space="preserve"> dimension</w:t>
      </w:r>
      <w:r w:rsidR="00C541C8">
        <w:rPr>
          <w:rFonts w:ascii="Garamond" w:hAnsi="Garamond"/>
          <w:color w:val="000000" w:themeColor="text1"/>
        </w:rPr>
        <w:t>(</w:t>
      </w:r>
      <w:r w:rsidR="00517AAD">
        <w:rPr>
          <w:rFonts w:ascii="Garamond" w:hAnsi="Garamond"/>
          <w:color w:val="000000" w:themeColor="text1"/>
        </w:rPr>
        <w:t>s</w:t>
      </w:r>
      <w:r w:rsidR="00C541C8">
        <w:rPr>
          <w:rFonts w:ascii="Garamond" w:hAnsi="Garamond"/>
          <w:color w:val="000000" w:themeColor="text1"/>
        </w:rPr>
        <w:t>)</w:t>
      </w:r>
      <w:r w:rsidR="00517AAD">
        <w:rPr>
          <w:rFonts w:ascii="Garamond" w:hAnsi="Garamond"/>
          <w:color w:val="000000" w:themeColor="text1"/>
        </w:rPr>
        <w:t xml:space="preserve"> religieuse</w:t>
      </w:r>
      <w:r w:rsidR="00C541C8">
        <w:rPr>
          <w:rFonts w:ascii="Garamond" w:hAnsi="Garamond"/>
          <w:color w:val="000000" w:themeColor="text1"/>
        </w:rPr>
        <w:t>(</w:t>
      </w:r>
      <w:r w:rsidR="00517AAD">
        <w:rPr>
          <w:rFonts w:ascii="Garamond" w:hAnsi="Garamond"/>
          <w:color w:val="000000" w:themeColor="text1"/>
        </w:rPr>
        <w:t>s</w:t>
      </w:r>
      <w:r w:rsidR="00C541C8">
        <w:rPr>
          <w:rFonts w:ascii="Garamond" w:hAnsi="Garamond"/>
          <w:color w:val="000000" w:themeColor="text1"/>
        </w:rPr>
        <w:t>)</w:t>
      </w:r>
      <w:r w:rsidR="00517AAD">
        <w:rPr>
          <w:rFonts w:ascii="Garamond" w:hAnsi="Garamond"/>
          <w:color w:val="000000" w:themeColor="text1"/>
        </w:rPr>
        <w:t xml:space="preserve"> et </w:t>
      </w:r>
      <w:r w:rsidR="00F51044">
        <w:rPr>
          <w:rFonts w:ascii="Garamond" w:hAnsi="Garamond"/>
          <w:color w:val="000000" w:themeColor="text1"/>
        </w:rPr>
        <w:t>la/les langue(s) d’expression principale(s).</w:t>
      </w:r>
      <w:r w:rsidR="001D3D3A">
        <w:rPr>
          <w:rFonts w:ascii="Garamond" w:hAnsi="Garamond"/>
          <w:color w:val="000000" w:themeColor="text1"/>
        </w:rPr>
        <w:t xml:space="preserve"> </w:t>
      </w:r>
      <w:r w:rsidR="005F67EB">
        <w:rPr>
          <w:rFonts w:ascii="Garamond" w:hAnsi="Garamond"/>
          <w:color w:val="000000" w:themeColor="text1"/>
        </w:rPr>
        <w:t>Sont également éligibles des</w:t>
      </w:r>
      <w:r w:rsidR="001D3D3A">
        <w:rPr>
          <w:rFonts w:ascii="Garamond" w:hAnsi="Garamond"/>
          <w:color w:val="000000" w:themeColor="text1"/>
        </w:rPr>
        <w:t xml:space="preserve"> spécialisation</w:t>
      </w:r>
      <w:r w:rsidR="005F67EB">
        <w:rPr>
          <w:rFonts w:ascii="Garamond" w:hAnsi="Garamond"/>
          <w:color w:val="000000" w:themeColor="text1"/>
        </w:rPr>
        <w:t>s</w:t>
      </w:r>
      <w:r w:rsidR="001D3D3A">
        <w:rPr>
          <w:rFonts w:ascii="Garamond" w:hAnsi="Garamond"/>
          <w:color w:val="000000" w:themeColor="text1"/>
        </w:rPr>
        <w:t xml:space="preserve"> en histoire des sciences</w:t>
      </w:r>
      <w:r w:rsidR="008E409B">
        <w:rPr>
          <w:rFonts w:ascii="Garamond" w:hAnsi="Garamond"/>
          <w:color w:val="000000" w:themeColor="text1"/>
        </w:rPr>
        <w:t xml:space="preserve"> ou en histoire de l’art</w:t>
      </w:r>
      <w:r w:rsidR="001D3D3A">
        <w:rPr>
          <w:rFonts w:ascii="Garamond" w:hAnsi="Garamond"/>
          <w:color w:val="000000" w:themeColor="text1"/>
        </w:rPr>
        <w:t>.</w:t>
      </w:r>
    </w:p>
    <w:p w14:paraId="6B9FE0EF" w14:textId="77777777" w:rsidR="00D753E3" w:rsidRDefault="00D753E3" w:rsidP="001151CA">
      <w:pPr>
        <w:jc w:val="both"/>
        <w:rPr>
          <w:rFonts w:ascii="Garamond" w:hAnsi="Garamond"/>
          <w:color w:val="000000" w:themeColor="text1"/>
        </w:rPr>
      </w:pPr>
    </w:p>
    <w:p w14:paraId="1EECD445" w14:textId="1C489542" w:rsidR="0033510B" w:rsidRDefault="0033510B" w:rsidP="001151CA">
      <w:pPr>
        <w:jc w:val="both"/>
        <w:rPr>
          <w:rFonts w:ascii="Garamond" w:hAnsi="Garamond"/>
          <w:color w:val="000000" w:themeColor="text1"/>
        </w:rPr>
      </w:pPr>
    </w:p>
    <w:p w14:paraId="47051A69" w14:textId="567D6EAF" w:rsidR="0033510B" w:rsidRPr="0033510B" w:rsidRDefault="0033510B" w:rsidP="001151CA">
      <w:pPr>
        <w:jc w:val="both"/>
        <w:rPr>
          <w:rFonts w:ascii="Garamond" w:hAnsi="Garamond"/>
          <w:i/>
          <w:color w:val="000000" w:themeColor="text1"/>
        </w:rPr>
      </w:pPr>
      <w:r>
        <w:rPr>
          <w:rFonts w:ascii="Garamond" w:hAnsi="Garamond"/>
          <w:i/>
          <w:color w:val="000000" w:themeColor="text1"/>
        </w:rPr>
        <w:t>Description détaillée</w:t>
      </w:r>
    </w:p>
    <w:p w14:paraId="6AAA8BB9" w14:textId="77777777" w:rsidR="0033510B" w:rsidRDefault="0033510B" w:rsidP="001151CA">
      <w:pPr>
        <w:jc w:val="both"/>
        <w:rPr>
          <w:rFonts w:ascii="Garamond" w:hAnsi="Garamond"/>
          <w:color w:val="000000" w:themeColor="text1"/>
        </w:rPr>
      </w:pPr>
    </w:p>
    <w:p w14:paraId="04E8E87B" w14:textId="39D64A34" w:rsidR="0033510B" w:rsidRDefault="0033510B" w:rsidP="00BD5F32">
      <w:pPr>
        <w:jc w:val="both"/>
        <w:rPr>
          <w:rFonts w:ascii="Garamond" w:hAnsi="Garamond" w:cs="Calibri"/>
        </w:rPr>
      </w:pPr>
      <w:r w:rsidRPr="00D24FAE">
        <w:rPr>
          <w:rFonts w:ascii="Garamond" w:hAnsi="Garamond" w:cs="Calibri"/>
        </w:rPr>
        <w:t>Le GPR</w:t>
      </w:r>
      <w:r w:rsidRPr="00D24FAE" w:rsidDel="00A96432">
        <w:rPr>
          <w:rFonts w:ascii="Garamond" w:hAnsi="Garamond" w:cs="Calibri"/>
        </w:rPr>
        <w:t xml:space="preserve"> </w:t>
      </w:r>
      <w:bookmarkStart w:id="0" w:name="_Hlk129954583"/>
      <w:r w:rsidR="00497C46">
        <w:rPr>
          <w:rFonts w:ascii="Garamond" w:hAnsi="Garamond" w:cs="Calibri"/>
        </w:rPr>
        <w:t>“</w:t>
      </w:r>
      <w:r w:rsidRPr="00D24FAE">
        <w:rPr>
          <w:rFonts w:ascii="Garamond" w:hAnsi="Garamond" w:cs="Calibri"/>
        </w:rPr>
        <w:t>Les fabriques de</w:t>
      </w:r>
      <w:bookmarkEnd w:id="0"/>
      <w:r w:rsidRPr="00D24FAE">
        <w:rPr>
          <w:rFonts w:ascii="Garamond" w:hAnsi="Garamond" w:cs="Calibri"/>
        </w:rPr>
        <w:t xml:space="preserve"> l’antique</w:t>
      </w:r>
      <w:r w:rsidR="00497C46">
        <w:rPr>
          <w:rFonts w:ascii="Garamond" w:hAnsi="Garamond" w:cs="Calibri"/>
        </w:rPr>
        <w:t>”</w:t>
      </w:r>
      <w:r w:rsidRPr="00D24FAE">
        <w:rPr>
          <w:rFonts w:ascii="Garamond" w:hAnsi="Garamond" w:cs="Calibri"/>
        </w:rPr>
        <w:t xml:space="preserve"> envisage les mondes anciens non comme les objets traditionnels des </w:t>
      </w:r>
      <w:r w:rsidR="00497C46">
        <w:rPr>
          <w:rFonts w:ascii="Garamond" w:hAnsi="Garamond" w:cs="Calibri"/>
        </w:rPr>
        <w:t>“</w:t>
      </w:r>
      <w:r w:rsidRPr="00D24FAE">
        <w:rPr>
          <w:rFonts w:ascii="Garamond" w:hAnsi="Garamond" w:cs="Calibri"/>
        </w:rPr>
        <w:t>sciences de l’Antiquité</w:t>
      </w:r>
      <w:r w:rsidR="00497C46">
        <w:rPr>
          <w:rFonts w:ascii="Garamond" w:hAnsi="Garamond" w:cs="Calibri"/>
        </w:rPr>
        <w:t>”</w:t>
      </w:r>
      <w:r w:rsidRPr="00D24FAE">
        <w:rPr>
          <w:rFonts w:ascii="Garamond" w:hAnsi="Garamond" w:cs="Calibri"/>
        </w:rPr>
        <w:t xml:space="preserve">, mais comme les enjeux d’appropriations, de constructions et de réécritures successives motivées par des contemporanéités changeantes (anciennes ou contemporaines) et ancrées dans des conditions matérielles concrètes, elles-mêmes stratifiées. </w:t>
      </w:r>
      <w:r>
        <w:rPr>
          <w:rFonts w:ascii="Garamond" w:hAnsi="Garamond" w:cs="Calibri"/>
        </w:rPr>
        <w:t>D</w:t>
      </w:r>
      <w:r w:rsidRPr="00D24FAE">
        <w:rPr>
          <w:rFonts w:ascii="Garamond" w:hAnsi="Garamond" w:cs="Calibri"/>
        </w:rPr>
        <w:t xml:space="preserve">ans une dynamique de rupture avec l’européocentrisme, </w:t>
      </w:r>
      <w:r>
        <w:rPr>
          <w:rFonts w:ascii="Garamond" w:hAnsi="Garamond" w:cs="Calibri"/>
        </w:rPr>
        <w:t xml:space="preserve">le GPR </w:t>
      </w:r>
      <w:r w:rsidRPr="00D24FAE">
        <w:rPr>
          <w:rFonts w:ascii="Garamond" w:hAnsi="Garamond" w:cs="Calibri"/>
        </w:rPr>
        <w:t xml:space="preserve">envisage les sociétés anciennes dans une perspective globale, dans leur profondeur chronologique et dans leurs interconnexions. </w:t>
      </w:r>
    </w:p>
    <w:p w14:paraId="5C41BD1D" w14:textId="77777777" w:rsidR="0033510B" w:rsidRPr="00D24FAE" w:rsidRDefault="0033510B" w:rsidP="00BD5F32">
      <w:pPr>
        <w:jc w:val="both"/>
        <w:rPr>
          <w:rFonts w:ascii="Garamond" w:hAnsi="Garamond" w:cs="Calibri"/>
        </w:rPr>
      </w:pPr>
    </w:p>
    <w:p w14:paraId="762B722C" w14:textId="77777777" w:rsidR="0033510B" w:rsidRDefault="0033510B" w:rsidP="00BD5F32">
      <w:pPr>
        <w:jc w:val="both"/>
        <w:rPr>
          <w:rFonts w:ascii="Garamond" w:hAnsi="Garamond" w:cs="Calibri"/>
        </w:rPr>
      </w:pPr>
      <w:r w:rsidRPr="00D24FAE">
        <w:rPr>
          <w:rFonts w:ascii="Garamond" w:hAnsi="Garamond" w:cs="Calibri"/>
        </w:rPr>
        <w:t xml:space="preserve">La mise en récit et en image du passé, en effet, n’est pas une activité réservée à la société académique, dont le discours scientifique connaît aujourd’hui une crise qui le rend souvent inaudible face à la promotion de revendications identitaires et, au mieux, mémorielles, souvent falsificatrices. L’instrumentalisation des temps anciens et la (re)construction du passé, qu’elle soit forgerie ou propagande, est aussi un enjeu contemporain qu’il nous faut affronter. </w:t>
      </w:r>
    </w:p>
    <w:p w14:paraId="7CD236AB" w14:textId="77777777" w:rsidR="0033510B" w:rsidRPr="00D24FAE" w:rsidRDefault="0033510B" w:rsidP="00BD5F32">
      <w:pPr>
        <w:jc w:val="both"/>
        <w:rPr>
          <w:rFonts w:ascii="Garamond" w:hAnsi="Garamond" w:cs="Calibri"/>
        </w:rPr>
      </w:pPr>
    </w:p>
    <w:p w14:paraId="7BC80ABA" w14:textId="67A8279C" w:rsidR="0033510B" w:rsidRPr="00D24FAE" w:rsidRDefault="00497C46" w:rsidP="00BD5F32">
      <w:pPr>
        <w:jc w:val="both"/>
        <w:rPr>
          <w:rFonts w:ascii="Garamond" w:hAnsi="Garamond" w:cs="Calibri"/>
        </w:rPr>
      </w:pPr>
      <w:r>
        <w:rPr>
          <w:rFonts w:ascii="Garamond" w:hAnsi="Garamond" w:cs="Calibri"/>
        </w:rPr>
        <w:t>“</w:t>
      </w:r>
      <w:r w:rsidR="0033510B" w:rsidRPr="00D24FAE">
        <w:rPr>
          <w:rFonts w:ascii="Garamond" w:hAnsi="Garamond" w:cs="Calibri"/>
        </w:rPr>
        <w:t>Les fabriques de l’antique</w:t>
      </w:r>
      <w:r>
        <w:rPr>
          <w:rFonts w:ascii="Garamond" w:hAnsi="Garamond" w:cs="Calibri"/>
        </w:rPr>
        <w:t>”</w:t>
      </w:r>
      <w:r w:rsidR="0033510B" w:rsidRPr="00D24FAE">
        <w:rPr>
          <w:rFonts w:ascii="Garamond" w:hAnsi="Garamond" w:cs="Calibri"/>
        </w:rPr>
        <w:t xml:space="preserve"> porte donc sur les modalités de construction et de représentation de l’</w:t>
      </w:r>
      <w:r>
        <w:rPr>
          <w:rFonts w:ascii="Garamond" w:hAnsi="Garamond" w:cs="Calibri"/>
        </w:rPr>
        <w:t>“</w:t>
      </w:r>
      <w:r w:rsidR="0033510B" w:rsidRPr="00D24FAE">
        <w:rPr>
          <w:rFonts w:ascii="Garamond" w:hAnsi="Garamond" w:cs="Calibri"/>
        </w:rPr>
        <w:t>antique</w:t>
      </w:r>
      <w:r>
        <w:rPr>
          <w:rFonts w:ascii="Garamond" w:hAnsi="Garamond" w:cs="Calibri"/>
        </w:rPr>
        <w:t>”</w:t>
      </w:r>
      <w:r w:rsidR="0033510B" w:rsidRPr="00D24FAE">
        <w:rPr>
          <w:rFonts w:ascii="Garamond" w:hAnsi="Garamond" w:cs="Calibri"/>
        </w:rPr>
        <w:t xml:space="preserve"> et du </w:t>
      </w:r>
      <w:r>
        <w:rPr>
          <w:rFonts w:ascii="Garamond" w:hAnsi="Garamond" w:cs="Calibri"/>
        </w:rPr>
        <w:t>“</w:t>
      </w:r>
      <w:r w:rsidR="0033510B" w:rsidRPr="00D24FAE">
        <w:rPr>
          <w:rFonts w:ascii="Garamond" w:hAnsi="Garamond" w:cs="Calibri"/>
        </w:rPr>
        <w:t>classique</w:t>
      </w:r>
      <w:r>
        <w:rPr>
          <w:rFonts w:ascii="Garamond" w:hAnsi="Garamond" w:cs="Calibri"/>
        </w:rPr>
        <w:t>”</w:t>
      </w:r>
      <w:r w:rsidR="0033510B" w:rsidRPr="00D24FAE">
        <w:rPr>
          <w:rFonts w:ascii="Garamond" w:hAnsi="Garamond" w:cs="Calibri"/>
        </w:rPr>
        <w:t>, mais aussi de l’</w:t>
      </w:r>
      <w:r>
        <w:rPr>
          <w:rFonts w:ascii="Garamond" w:hAnsi="Garamond" w:cs="Calibri"/>
        </w:rPr>
        <w:t>“</w:t>
      </w:r>
      <w:r w:rsidR="0033510B" w:rsidRPr="00D24FAE">
        <w:rPr>
          <w:rFonts w:ascii="Garamond" w:hAnsi="Garamond" w:cs="Calibri"/>
        </w:rPr>
        <w:t>originel</w:t>
      </w:r>
      <w:r>
        <w:rPr>
          <w:rFonts w:ascii="Garamond" w:hAnsi="Garamond" w:cs="Calibri"/>
        </w:rPr>
        <w:t>”</w:t>
      </w:r>
      <w:r w:rsidR="0033510B" w:rsidRPr="00D24FAE">
        <w:rPr>
          <w:rFonts w:ascii="Garamond" w:hAnsi="Garamond" w:cs="Calibri"/>
        </w:rPr>
        <w:t xml:space="preserve"> et du </w:t>
      </w:r>
      <w:r>
        <w:rPr>
          <w:rFonts w:ascii="Garamond" w:hAnsi="Garamond" w:cs="Calibri"/>
        </w:rPr>
        <w:t>“</w:t>
      </w:r>
      <w:r w:rsidR="0033510B" w:rsidRPr="00D24FAE">
        <w:rPr>
          <w:rFonts w:ascii="Garamond" w:hAnsi="Garamond" w:cs="Calibri"/>
        </w:rPr>
        <w:t>primordial</w:t>
      </w:r>
      <w:r>
        <w:rPr>
          <w:rFonts w:ascii="Garamond" w:hAnsi="Garamond" w:cs="Calibri"/>
        </w:rPr>
        <w:t>”</w:t>
      </w:r>
      <w:r w:rsidR="0033510B" w:rsidRPr="00D24FAE">
        <w:rPr>
          <w:rFonts w:ascii="Garamond" w:hAnsi="Garamond" w:cs="Calibri"/>
        </w:rPr>
        <w:t xml:space="preserve">, plus généralement de ce qu’une société conçoit comme les </w:t>
      </w:r>
      <w:r>
        <w:rPr>
          <w:rFonts w:ascii="Garamond" w:hAnsi="Garamond" w:cs="Calibri"/>
        </w:rPr>
        <w:t>“</w:t>
      </w:r>
      <w:r w:rsidR="0033510B" w:rsidRPr="00D24FAE">
        <w:rPr>
          <w:rFonts w:ascii="Garamond" w:hAnsi="Garamond" w:cs="Calibri"/>
        </w:rPr>
        <w:t>temps anciens</w:t>
      </w:r>
      <w:r>
        <w:rPr>
          <w:rFonts w:ascii="Garamond" w:hAnsi="Garamond" w:cs="Calibri"/>
        </w:rPr>
        <w:t>”</w:t>
      </w:r>
      <w:r w:rsidR="0033510B" w:rsidRPr="00D24FAE">
        <w:rPr>
          <w:rFonts w:ascii="Garamond" w:hAnsi="Garamond" w:cs="Calibri"/>
        </w:rPr>
        <w:t>, dans tous les contextes historico-culturels – contemporains et modernes, mais aussi dans les sociétés anciennes elles-mêmes, à divers moments de leur histoire – et sous toutes les formes qu’affectent de tels phénomènes. Interrogeant régimes d’historicité</w:t>
      </w:r>
      <w:r w:rsidR="00775986">
        <w:rPr>
          <w:rFonts w:ascii="Garamond" w:hAnsi="Garamond" w:cs="Calibri"/>
        </w:rPr>
        <w:t xml:space="preserve"> </w:t>
      </w:r>
      <w:r w:rsidR="0033510B" w:rsidRPr="00D24FAE">
        <w:rPr>
          <w:rFonts w:ascii="Garamond" w:hAnsi="Garamond" w:cs="Calibri"/>
        </w:rPr>
        <w:t xml:space="preserve">et d’ancienneté, ce GPR examine la construction des temporalités et les logiques de périodisation dans leurs dimensions cosmologiques, herméneutiques, idéologiques et politiques. Parce que les (re)lectures des mondes anciens, souvent contradictoires et conflictuelles, se perpétuent – avec quelles (dis)continuités ? – dans des registres aussi différents que les discours académiques, les voix populistes et la culture populaire, </w:t>
      </w:r>
      <w:r w:rsidR="006F1387">
        <w:rPr>
          <w:rFonts w:ascii="Garamond" w:hAnsi="Garamond" w:cs="Calibri"/>
        </w:rPr>
        <w:t xml:space="preserve">le GPR </w:t>
      </w:r>
      <w:r w:rsidR="0033510B" w:rsidRPr="00D24FAE">
        <w:rPr>
          <w:rFonts w:ascii="Garamond" w:hAnsi="Garamond" w:cs="Calibri"/>
        </w:rPr>
        <w:t>incorpore les savoirs du monde contemporain et comporte une forte dimension épistémologique et historiographique.</w:t>
      </w:r>
    </w:p>
    <w:p w14:paraId="44506E71" w14:textId="77777777" w:rsidR="0033510B" w:rsidRPr="00D24FAE" w:rsidRDefault="0033510B" w:rsidP="0033510B">
      <w:pPr>
        <w:jc w:val="both"/>
        <w:rPr>
          <w:rFonts w:ascii="Garamond" w:hAnsi="Garamond" w:cs="Calibri"/>
        </w:rPr>
      </w:pPr>
    </w:p>
    <w:p w14:paraId="5CA9BC0B" w14:textId="08671E34" w:rsidR="0033510B" w:rsidRPr="00D24FAE" w:rsidRDefault="0033510B" w:rsidP="0033510B">
      <w:pPr>
        <w:jc w:val="both"/>
        <w:rPr>
          <w:rFonts w:ascii="Garamond" w:hAnsi="Garamond" w:cs="Calibri"/>
        </w:rPr>
      </w:pPr>
      <w:r w:rsidRPr="00D24FAE">
        <w:rPr>
          <w:rFonts w:ascii="Garamond" w:hAnsi="Garamond" w:cs="Calibri"/>
        </w:rPr>
        <w:t xml:space="preserve">La problématique du GPR </w:t>
      </w:r>
      <w:r w:rsidR="00894F11">
        <w:rPr>
          <w:rFonts w:ascii="Garamond" w:hAnsi="Garamond" w:cs="Calibri"/>
        </w:rPr>
        <w:t>“</w:t>
      </w:r>
      <w:r w:rsidRPr="00D24FAE">
        <w:rPr>
          <w:rFonts w:ascii="Garamond" w:hAnsi="Garamond" w:cs="Calibri"/>
        </w:rPr>
        <w:t>Les fabriques de l’antique</w:t>
      </w:r>
      <w:r w:rsidR="00894F11">
        <w:rPr>
          <w:rFonts w:ascii="Garamond" w:hAnsi="Garamond" w:cs="Calibri"/>
        </w:rPr>
        <w:t>”</w:t>
      </w:r>
      <w:r w:rsidRPr="00D24FAE">
        <w:rPr>
          <w:rFonts w:ascii="Garamond" w:hAnsi="Garamond" w:cs="Calibri"/>
        </w:rPr>
        <w:t xml:space="preserve"> se décline selon trois axes thématiques transversaux qui constituent autant de directions de recherche et de formation à la recherche :</w:t>
      </w:r>
    </w:p>
    <w:p w14:paraId="769FC769" w14:textId="77777777" w:rsidR="0033510B" w:rsidRPr="00D24FAE" w:rsidRDefault="0033510B" w:rsidP="0033510B">
      <w:pPr>
        <w:jc w:val="both"/>
        <w:rPr>
          <w:rFonts w:ascii="Garamond" w:hAnsi="Garamond" w:cs="Calibri"/>
        </w:rPr>
      </w:pPr>
    </w:p>
    <w:p w14:paraId="6AB20A0B" w14:textId="77777777" w:rsidR="0033510B" w:rsidRPr="0033510B" w:rsidRDefault="0033510B" w:rsidP="001151CA">
      <w:pPr>
        <w:keepNext/>
        <w:jc w:val="both"/>
        <w:rPr>
          <w:rFonts w:ascii="Garamond" w:hAnsi="Garamond"/>
          <w:i/>
        </w:rPr>
      </w:pPr>
      <w:r w:rsidRPr="0033510B">
        <w:rPr>
          <w:rFonts w:ascii="Garamond" w:hAnsi="Garamond" w:cs="Calibri"/>
          <w:i/>
        </w:rPr>
        <w:t xml:space="preserve">Axe 1. La construction du </w:t>
      </w:r>
      <w:r w:rsidRPr="0033510B">
        <w:rPr>
          <w:rFonts w:ascii="Garamond" w:hAnsi="Garamond"/>
          <w:i/>
        </w:rPr>
        <w:t>temps et ses enjeux </w:t>
      </w:r>
    </w:p>
    <w:p w14:paraId="3040A152" w14:textId="77777777" w:rsidR="0033510B" w:rsidRDefault="0033510B" w:rsidP="001151CA">
      <w:pPr>
        <w:keepNext/>
        <w:jc w:val="both"/>
        <w:rPr>
          <w:rFonts w:ascii="Garamond" w:hAnsi="Garamond"/>
        </w:rPr>
      </w:pPr>
    </w:p>
    <w:p w14:paraId="4B382E6C" w14:textId="79D30A57" w:rsidR="0033510B" w:rsidRDefault="0033510B" w:rsidP="001151CA">
      <w:pPr>
        <w:jc w:val="both"/>
        <w:rPr>
          <w:rFonts w:ascii="Garamond" w:hAnsi="Garamond"/>
        </w:rPr>
      </w:pPr>
      <w:r w:rsidRPr="00D24FAE">
        <w:rPr>
          <w:rFonts w:ascii="Garamond" w:hAnsi="Garamond"/>
        </w:rPr>
        <w:t>Avant la période moderne, il n’existait pas de calendrier universel ni de moyen aisé de calculer le temps. L’astronomie servait à mesurer le temps par l’observation des astres, l’astrologie et la cosmologie à l’interpréter, en reliant le monde des hommes et celui des dieux, la terre et les cieux, tandis que dire et déterminer le temps était affaire des autorités civiques et religieuses. Ces questions seront au cœur de la réflexion du GPR sur la manière de concevoir le temps, passé, présent, mais aussi prophétique et eschatologique, dans les sociétés anciennes. Les changements de régime d’historicité, c’est-à-dire de la manière de penser le rapport au temps, pourront être étudiés dans les différentes aires culturelles représentées. La contribution des sciences et de l’histoire des sciences, en particulier de l’astronomie et de la biologie, sera ici particulièrement importante. Elle éclairera les interactions complexes entre astronomie et chronologie, ainsi que de leur caractère culturellement structurant, et permettra d’intégrer, pour la préhistoire notamment, les constructions scientifiques des temps passés par les méthodes de datation physico-chimiques et archéologiques.</w:t>
      </w:r>
    </w:p>
    <w:p w14:paraId="0F23458C" w14:textId="77777777" w:rsidR="0033510B" w:rsidRPr="00D24FAE" w:rsidRDefault="0033510B" w:rsidP="001151CA">
      <w:pPr>
        <w:jc w:val="both"/>
        <w:rPr>
          <w:rFonts w:ascii="Garamond" w:hAnsi="Garamond"/>
        </w:rPr>
      </w:pPr>
    </w:p>
    <w:p w14:paraId="4559CAB0" w14:textId="19B06C90" w:rsidR="0033510B" w:rsidRDefault="0033510B" w:rsidP="001151CA">
      <w:pPr>
        <w:jc w:val="both"/>
        <w:rPr>
          <w:rFonts w:ascii="Garamond" w:hAnsi="Garamond"/>
        </w:rPr>
      </w:pPr>
      <w:r w:rsidRPr="00D24FAE">
        <w:rPr>
          <w:rFonts w:ascii="Garamond" w:hAnsi="Garamond"/>
        </w:rPr>
        <w:t xml:space="preserve">La réflexion sur les origines et les commencements, sur les temps de la </w:t>
      </w:r>
      <w:r w:rsidR="00894F11">
        <w:rPr>
          <w:rFonts w:ascii="Garamond" w:hAnsi="Garamond"/>
        </w:rPr>
        <w:t>“</w:t>
      </w:r>
      <w:r w:rsidRPr="00D24FAE">
        <w:rPr>
          <w:rFonts w:ascii="Garamond" w:hAnsi="Garamond"/>
        </w:rPr>
        <w:t>Première fois</w:t>
      </w:r>
      <w:r w:rsidR="00894F11">
        <w:rPr>
          <w:rFonts w:ascii="Garamond" w:hAnsi="Garamond"/>
        </w:rPr>
        <w:t>”</w:t>
      </w:r>
      <w:r w:rsidRPr="00D24FAE">
        <w:rPr>
          <w:rFonts w:ascii="Garamond" w:hAnsi="Garamond"/>
        </w:rPr>
        <w:t xml:space="preserve"> et sur l’archaïsme, constituent également un aspect central du rapport au temps et au passé quand il s’agit de se définir pour soi et par rapport aux autres. Dans ce contexte, l’étude des mythes d’origine et de leur rapport à un présent donné, non seulement tient à la question, centrale pour les sciences religieuses, du rapport entre mythes et rites, mais offre aussi l’occasion d’entrer dans le laboratoire de construction des institutions sociales et des savoirs scientifiques. </w:t>
      </w:r>
    </w:p>
    <w:p w14:paraId="5C258AEC" w14:textId="77777777" w:rsidR="0033510B" w:rsidRPr="00D24FAE" w:rsidRDefault="0033510B" w:rsidP="001151CA">
      <w:pPr>
        <w:jc w:val="both"/>
        <w:rPr>
          <w:rFonts w:ascii="Garamond" w:hAnsi="Garamond"/>
        </w:rPr>
      </w:pPr>
    </w:p>
    <w:p w14:paraId="20C19988" w14:textId="6A371FAF" w:rsidR="0033510B" w:rsidRDefault="0033510B" w:rsidP="001151CA">
      <w:pPr>
        <w:jc w:val="both"/>
        <w:rPr>
          <w:rFonts w:ascii="Garamond" w:hAnsi="Garamond"/>
        </w:rPr>
      </w:pPr>
      <w:r w:rsidRPr="00D24FAE">
        <w:rPr>
          <w:rFonts w:ascii="Garamond" w:hAnsi="Garamond"/>
        </w:rPr>
        <w:t>À un second niveau, la question des périodisations historiques, telles que déterminées dans les sociétés anciennes comme aux périodes modernes et contemporaines, sera un autre angle d’approche du rapport au temps. Quels sont les enjeux de la définition de l’</w:t>
      </w:r>
      <w:r w:rsidR="00894F11">
        <w:rPr>
          <w:rFonts w:ascii="Garamond" w:hAnsi="Garamond"/>
        </w:rPr>
        <w:t>“</w:t>
      </w:r>
      <w:r w:rsidRPr="00D24FAE">
        <w:rPr>
          <w:rFonts w:ascii="Garamond" w:hAnsi="Garamond"/>
        </w:rPr>
        <w:t>Antiquité</w:t>
      </w:r>
      <w:r w:rsidR="00894F11">
        <w:rPr>
          <w:rFonts w:ascii="Garamond" w:hAnsi="Garamond"/>
        </w:rPr>
        <w:t>”</w:t>
      </w:r>
      <w:r w:rsidRPr="00D24FAE">
        <w:rPr>
          <w:rFonts w:ascii="Garamond" w:hAnsi="Garamond"/>
        </w:rPr>
        <w:t xml:space="preserve"> et du </w:t>
      </w:r>
      <w:r w:rsidR="00894F11">
        <w:rPr>
          <w:rFonts w:ascii="Garamond" w:hAnsi="Garamond"/>
        </w:rPr>
        <w:t>“</w:t>
      </w:r>
      <w:r w:rsidRPr="00D24FAE">
        <w:rPr>
          <w:rFonts w:ascii="Garamond" w:hAnsi="Garamond"/>
        </w:rPr>
        <w:t>Moyen Âge</w:t>
      </w:r>
      <w:r w:rsidR="00894F11">
        <w:rPr>
          <w:rFonts w:ascii="Garamond" w:hAnsi="Garamond"/>
        </w:rPr>
        <w:t>”</w:t>
      </w:r>
      <w:r w:rsidRPr="00D24FAE">
        <w:rPr>
          <w:rFonts w:ascii="Garamond" w:hAnsi="Garamond"/>
        </w:rPr>
        <w:t>, notions issues de l’histoire européenne ? Qu’en est-il si l’on décentre l’analyse au-delà de ce périmètre, par exemple à l’Inde, où les notions de classicisme, de Moyen Âge et de féodalité ont joué un rôle majeur dans l’historiographie, ou à Byzance et dans le Proche-Orient médiéval ? Pour ne prendre qu’un exemple, l’</w:t>
      </w:r>
      <w:r w:rsidR="00894F11">
        <w:rPr>
          <w:rFonts w:ascii="Garamond" w:hAnsi="Garamond"/>
        </w:rPr>
        <w:t>“</w:t>
      </w:r>
      <w:r w:rsidRPr="00D24FAE">
        <w:rPr>
          <w:rFonts w:ascii="Garamond" w:hAnsi="Garamond"/>
        </w:rPr>
        <w:t>antiquité tardive</w:t>
      </w:r>
      <w:r w:rsidR="00894F11">
        <w:rPr>
          <w:rFonts w:ascii="Garamond" w:hAnsi="Garamond"/>
        </w:rPr>
        <w:t>”</w:t>
      </w:r>
      <w:r w:rsidRPr="00D24FAE">
        <w:rPr>
          <w:rFonts w:ascii="Garamond" w:hAnsi="Garamond"/>
        </w:rPr>
        <w:t xml:space="preserve"> </w:t>
      </w:r>
      <w:r w:rsidRPr="00D24FAE">
        <w:rPr>
          <w:rFonts w:ascii="Garamond" w:hAnsi="Garamond"/>
        </w:rPr>
        <w:lastRenderedPageBreak/>
        <w:t xml:space="preserve">sur laquelle travaillent un grand nombre </w:t>
      </w:r>
      <w:r w:rsidR="002C0A6C" w:rsidRPr="00D24FAE">
        <w:rPr>
          <w:rFonts w:ascii="Garamond" w:hAnsi="Garamond"/>
        </w:rPr>
        <w:t>d’</w:t>
      </w:r>
      <w:r w:rsidR="002C0A6C">
        <w:rPr>
          <w:rFonts w:ascii="Garamond" w:hAnsi="Garamond"/>
        </w:rPr>
        <w:t>enseignants-chercheurs ou chercheurs</w:t>
      </w:r>
      <w:r w:rsidR="002C0A6C" w:rsidRPr="00D24FAE">
        <w:rPr>
          <w:rFonts w:ascii="Garamond" w:hAnsi="Garamond"/>
        </w:rPr>
        <w:t xml:space="preserve"> </w:t>
      </w:r>
      <w:r w:rsidRPr="00D24FAE">
        <w:rPr>
          <w:rFonts w:ascii="Garamond" w:hAnsi="Garamond"/>
        </w:rPr>
        <w:t>de PSL constitue un objet heuristique en soi.</w:t>
      </w:r>
    </w:p>
    <w:p w14:paraId="2EA71A79" w14:textId="77777777" w:rsidR="0033510B" w:rsidRPr="00D24FAE" w:rsidRDefault="0033510B" w:rsidP="001151CA">
      <w:pPr>
        <w:jc w:val="both"/>
        <w:rPr>
          <w:rFonts w:ascii="Garamond" w:hAnsi="Garamond"/>
        </w:rPr>
      </w:pPr>
    </w:p>
    <w:p w14:paraId="3E2BB6D8" w14:textId="7FBD95FC" w:rsidR="0033510B" w:rsidRPr="00D24FAE" w:rsidRDefault="0033510B" w:rsidP="001151CA">
      <w:pPr>
        <w:jc w:val="both"/>
        <w:rPr>
          <w:rFonts w:ascii="Garamond" w:hAnsi="Garamond"/>
        </w:rPr>
      </w:pPr>
      <w:r w:rsidRPr="00D24FAE">
        <w:rPr>
          <w:rFonts w:ascii="Garamond" w:hAnsi="Garamond"/>
        </w:rPr>
        <w:t>Corrélativement, la question de la canonisation littéraire</w:t>
      </w:r>
      <w:r w:rsidRPr="00D24FAE">
        <w:rPr>
          <w:rFonts w:ascii="Garamond" w:eastAsiaTheme="majorEastAsia" w:hAnsi="Garamond"/>
        </w:rPr>
        <w:t>,</w:t>
      </w:r>
      <w:r w:rsidRPr="00D24FAE">
        <w:rPr>
          <w:rFonts w:ascii="Garamond" w:hAnsi="Garamond"/>
        </w:rPr>
        <w:t xml:space="preserve"> linguistique et scientifique, ainsi que celle de la définition de ce qui est considéré comme </w:t>
      </w:r>
      <w:r w:rsidR="00894F11">
        <w:rPr>
          <w:rFonts w:ascii="Garamond" w:hAnsi="Garamond"/>
        </w:rPr>
        <w:t>“</w:t>
      </w:r>
      <w:r w:rsidRPr="00D24FAE">
        <w:rPr>
          <w:rFonts w:ascii="Garamond" w:hAnsi="Garamond"/>
        </w:rPr>
        <w:t>classique</w:t>
      </w:r>
      <w:r w:rsidR="00894F11">
        <w:rPr>
          <w:rFonts w:ascii="Garamond" w:hAnsi="Garamond"/>
        </w:rPr>
        <w:t>”</w:t>
      </w:r>
      <w:r w:rsidRPr="00D24FAE">
        <w:rPr>
          <w:rFonts w:ascii="Garamond" w:hAnsi="Garamond"/>
        </w:rPr>
        <w:t>, dans les sociétés anciennes comme dans les périodes modernes et contemporaines, bénéficiera de la comparaison entre les mondes chinois et japonais, le monde gréco-latin, la Mésopotamie et l’Égypte anciennes, par exemple, tous représentés dans leur pleine profondeur diachronique dans le GPR.</w:t>
      </w:r>
    </w:p>
    <w:p w14:paraId="2E125E67" w14:textId="77777777" w:rsidR="0033510B" w:rsidRPr="00D24FAE" w:rsidRDefault="0033510B" w:rsidP="001151CA">
      <w:pPr>
        <w:jc w:val="both"/>
        <w:rPr>
          <w:rFonts w:ascii="Garamond" w:hAnsi="Garamond"/>
        </w:rPr>
      </w:pPr>
    </w:p>
    <w:p w14:paraId="11BC5868" w14:textId="77777777" w:rsidR="0033510B" w:rsidRDefault="0033510B" w:rsidP="001151CA">
      <w:pPr>
        <w:keepNext/>
        <w:jc w:val="both"/>
        <w:rPr>
          <w:rFonts w:ascii="Garamond" w:hAnsi="Garamond"/>
          <w:i/>
        </w:rPr>
      </w:pPr>
      <w:r w:rsidRPr="0033510B">
        <w:rPr>
          <w:rFonts w:ascii="Garamond" w:hAnsi="Garamond"/>
          <w:i/>
        </w:rPr>
        <w:t>2. Construction et représentation de l’Antique</w:t>
      </w:r>
    </w:p>
    <w:p w14:paraId="63653C94" w14:textId="77777777" w:rsidR="0033510B" w:rsidRPr="0033510B" w:rsidRDefault="0033510B" w:rsidP="001151CA">
      <w:pPr>
        <w:keepNext/>
        <w:jc w:val="both"/>
        <w:rPr>
          <w:rFonts w:ascii="Garamond" w:hAnsi="Garamond"/>
          <w:i/>
        </w:rPr>
      </w:pPr>
    </w:p>
    <w:p w14:paraId="01985019" w14:textId="70EF07F2" w:rsidR="0033510B" w:rsidRDefault="0033510B" w:rsidP="001151CA">
      <w:pPr>
        <w:jc w:val="both"/>
        <w:rPr>
          <w:rFonts w:ascii="Garamond" w:hAnsi="Garamond"/>
        </w:rPr>
      </w:pPr>
      <w:r w:rsidRPr="00D24FAE">
        <w:rPr>
          <w:rFonts w:ascii="Garamond" w:hAnsi="Garamond"/>
        </w:rPr>
        <w:t xml:space="preserve">Le deuxième axe du GPR porte sur les diverses façons dont sont construits, administrés et mobilisés les mondes anciens, non seulement par les </w:t>
      </w:r>
      <w:r w:rsidR="00894F11">
        <w:rPr>
          <w:rFonts w:ascii="Garamond" w:hAnsi="Garamond"/>
        </w:rPr>
        <w:t>“</w:t>
      </w:r>
      <w:r w:rsidRPr="00D24FAE">
        <w:rPr>
          <w:rFonts w:ascii="Garamond" w:hAnsi="Garamond"/>
        </w:rPr>
        <w:t>spécialistes du passé</w:t>
      </w:r>
      <w:r w:rsidR="00894F11">
        <w:rPr>
          <w:rFonts w:ascii="Garamond" w:hAnsi="Garamond"/>
        </w:rPr>
        <w:t>”</w:t>
      </w:r>
      <w:r w:rsidRPr="00D24FAE">
        <w:rPr>
          <w:rFonts w:ascii="Garamond" w:hAnsi="Garamond"/>
        </w:rPr>
        <w:t xml:space="preserve"> des différents ensembles culturels (aèdes, historiens, chroniqueurs, prêtres, etc.), mais aussi au niveau des représentations artistiques et scientifiques, des discours politiques, des dispositifs religieux ou encore des valorisations populaires, à travers le temps. La construction muséale de l’antique – qui commence durant l’Antiquité elle-même – y occupe une place de première importance, de même que la représentation et la construction des temps préhistoriques par les naturalistes et les archéologues dès la fin du 18</w:t>
      </w:r>
      <w:r w:rsidRPr="00881458">
        <w:rPr>
          <w:rFonts w:ascii="Garamond" w:hAnsi="Garamond"/>
          <w:vertAlign w:val="superscript"/>
        </w:rPr>
        <w:t>e</w:t>
      </w:r>
      <w:r w:rsidRPr="00D24FAE">
        <w:rPr>
          <w:rFonts w:ascii="Garamond" w:hAnsi="Garamond"/>
        </w:rPr>
        <w:t xml:space="preserve"> siècle. Cet axe s’intéresse en particulier aux modalités de mise en place des savoirs historiens – personnes, institutions, réseaux, genres, disciplines, méthodes, limites, etc. – ainsi qu’aux problèmes liés aux revendications concurrentes à l’autorité, par exemple entre discours académiques et discours fondamentalistes, nationalistes ou populistes.</w:t>
      </w:r>
    </w:p>
    <w:p w14:paraId="74CED45F" w14:textId="77777777" w:rsidR="0033510B" w:rsidRPr="00D24FAE" w:rsidRDefault="0033510B" w:rsidP="001151CA">
      <w:pPr>
        <w:jc w:val="both"/>
        <w:rPr>
          <w:rFonts w:ascii="Garamond" w:hAnsi="Garamond"/>
        </w:rPr>
      </w:pPr>
    </w:p>
    <w:p w14:paraId="4B45790B" w14:textId="43AD7FEC" w:rsidR="0033510B" w:rsidRPr="00D24FAE" w:rsidRDefault="0033510B" w:rsidP="001151CA">
      <w:pPr>
        <w:jc w:val="both"/>
        <w:rPr>
          <w:rFonts w:ascii="Garamond" w:hAnsi="Garamond"/>
        </w:rPr>
      </w:pPr>
      <w:r w:rsidRPr="00D24FAE">
        <w:rPr>
          <w:rFonts w:ascii="Garamond" w:hAnsi="Garamond"/>
        </w:rPr>
        <w:t xml:space="preserve">L’étude de la réception des mondes anciens — de l’Antiquité et du Moyen Âge dans la taxinomie traditionnelle – et de ses modalités est aujourd’hui importante, au point de se présenter souvent comme une discipline à part entière et en particulier comme une herméneutique du contemporain. Allant au-delà, le GPR </w:t>
      </w:r>
      <w:r w:rsidR="00BD246C">
        <w:rPr>
          <w:rFonts w:ascii="Garamond" w:hAnsi="Garamond"/>
        </w:rPr>
        <w:t>entend appréhender</w:t>
      </w:r>
      <w:r w:rsidR="00BD246C" w:rsidRPr="00D24FAE">
        <w:rPr>
          <w:rFonts w:ascii="Garamond" w:hAnsi="Garamond"/>
        </w:rPr>
        <w:t xml:space="preserve"> </w:t>
      </w:r>
      <w:r w:rsidRPr="00D24FAE">
        <w:rPr>
          <w:rFonts w:ascii="Garamond" w:hAnsi="Garamond"/>
        </w:rPr>
        <w:t xml:space="preserve">cette </w:t>
      </w:r>
      <w:r w:rsidR="00894F11">
        <w:rPr>
          <w:rFonts w:ascii="Garamond" w:hAnsi="Garamond"/>
        </w:rPr>
        <w:t>“</w:t>
      </w:r>
      <w:r w:rsidRPr="00D24FAE">
        <w:rPr>
          <w:rFonts w:ascii="Garamond" w:hAnsi="Garamond"/>
        </w:rPr>
        <w:t>réception</w:t>
      </w:r>
      <w:r w:rsidR="00894F11">
        <w:rPr>
          <w:rFonts w:ascii="Garamond" w:hAnsi="Garamond"/>
        </w:rPr>
        <w:t>”</w:t>
      </w:r>
      <w:r w:rsidRPr="00D24FAE">
        <w:rPr>
          <w:rFonts w:ascii="Garamond" w:hAnsi="Garamond"/>
        </w:rPr>
        <w:t xml:space="preserve"> comme un aspect de la perpétuelle reconstruction des mondes anciens à diverses époques. Il </w:t>
      </w:r>
      <w:r w:rsidR="0014790A">
        <w:rPr>
          <w:rFonts w:ascii="Garamond" w:hAnsi="Garamond"/>
        </w:rPr>
        <w:t>explore ainsi les</w:t>
      </w:r>
      <w:r w:rsidRPr="00D24FAE">
        <w:rPr>
          <w:rFonts w:ascii="Garamond" w:hAnsi="Garamond"/>
        </w:rPr>
        <w:t xml:space="preserve"> processus et les enjeux de la re-sémantisation continue des corpus de représentations culturelles.</w:t>
      </w:r>
    </w:p>
    <w:p w14:paraId="43416A0C" w14:textId="77777777" w:rsidR="0033510B" w:rsidRPr="00D24FAE" w:rsidRDefault="0033510B" w:rsidP="001151CA">
      <w:pPr>
        <w:jc w:val="both"/>
        <w:rPr>
          <w:rFonts w:ascii="Garamond" w:hAnsi="Garamond"/>
        </w:rPr>
      </w:pPr>
    </w:p>
    <w:p w14:paraId="3F8E2580" w14:textId="22B9EFEC" w:rsidR="0033510B" w:rsidRDefault="0033510B" w:rsidP="001151CA">
      <w:pPr>
        <w:keepNext/>
        <w:jc w:val="both"/>
        <w:rPr>
          <w:rFonts w:ascii="Garamond" w:hAnsi="Garamond"/>
          <w:i/>
        </w:rPr>
      </w:pPr>
      <w:r>
        <w:rPr>
          <w:rFonts w:ascii="Garamond" w:hAnsi="Garamond"/>
          <w:i/>
        </w:rPr>
        <w:t xml:space="preserve">Axe </w:t>
      </w:r>
      <w:r w:rsidRPr="0033510B">
        <w:rPr>
          <w:rFonts w:ascii="Garamond" w:hAnsi="Garamond"/>
          <w:i/>
        </w:rPr>
        <w:t>3. Le façonnement linguistique du monde : les langues et écritures comme objets historiques</w:t>
      </w:r>
    </w:p>
    <w:p w14:paraId="7DDEBF78" w14:textId="77777777" w:rsidR="0033510B" w:rsidRPr="0033510B" w:rsidRDefault="0033510B" w:rsidP="001151CA">
      <w:pPr>
        <w:keepNext/>
        <w:jc w:val="both"/>
        <w:rPr>
          <w:rFonts w:ascii="Garamond" w:hAnsi="Garamond"/>
          <w:i/>
        </w:rPr>
      </w:pPr>
    </w:p>
    <w:p w14:paraId="4B4182DB" w14:textId="77777777" w:rsidR="0033510B" w:rsidRPr="00D24FAE" w:rsidRDefault="0033510B" w:rsidP="001151CA">
      <w:pPr>
        <w:jc w:val="both"/>
        <w:rPr>
          <w:rFonts w:ascii="Garamond" w:hAnsi="Garamond" w:cs="Calibri"/>
        </w:rPr>
      </w:pPr>
      <w:r w:rsidRPr="00D24FAE">
        <w:rPr>
          <w:rFonts w:ascii="Garamond" w:hAnsi="Garamond"/>
        </w:rPr>
        <w:t>Parce qu’elles portent et façonnent la pensée, les langues sont le vecteur et un moteur essentiel des représentations sociales, politiques, culturelles et religieuses des sociétés anciennes comme des sociétés modernes. Mise par écrit d’une langue, standardisation de celle-ci, contact entre les langues, diffusion des langues et des écritures sur de vastes espaces culturels, usages des écritures, langues notées dans plusieurs écritures, constitution d’un état d’une langue en langue classique, valeurs de sacralité attachées à une langue et/ou une écriture (</w:t>
      </w:r>
      <w:proofErr w:type="spellStart"/>
      <w:r w:rsidRPr="00D24FAE">
        <w:rPr>
          <w:rFonts w:ascii="Garamond" w:hAnsi="Garamond"/>
        </w:rPr>
        <w:t>hiéroglossiques</w:t>
      </w:r>
      <w:proofErr w:type="spellEnd"/>
      <w:r w:rsidRPr="00D24FAE">
        <w:rPr>
          <w:rFonts w:ascii="Garamond" w:hAnsi="Garamond"/>
        </w:rPr>
        <w:t xml:space="preserve">, </w:t>
      </w:r>
      <w:proofErr w:type="spellStart"/>
      <w:r w:rsidRPr="00D24FAE">
        <w:rPr>
          <w:rFonts w:ascii="Garamond" w:hAnsi="Garamond"/>
        </w:rPr>
        <w:t>hétérographies</w:t>
      </w:r>
      <w:proofErr w:type="spellEnd"/>
      <w:r w:rsidRPr="00D24FAE">
        <w:rPr>
          <w:rFonts w:ascii="Garamond" w:hAnsi="Garamond"/>
        </w:rPr>
        <w:t>), obsolescence et mort d’une écriture ou d’une langue : les langues et les écritures sont pleinement des objets historiques, déterminés par les sociétés qui les portent. La linguistique historique et les différentes philosophies du langage, de même que les recherches relatives à l’origine du langage humain et à la symbolique préhistorique, viennent complét</w:t>
      </w:r>
      <w:r w:rsidRPr="00D24FAE">
        <w:rPr>
          <w:rFonts w:ascii="Garamond" w:hAnsi="Garamond" w:cs="Calibri"/>
        </w:rPr>
        <w:t>er l’approche plurielle et décentrée qu’entend mener le GPR.</w:t>
      </w:r>
    </w:p>
    <w:p w14:paraId="2B45DFDB" w14:textId="77777777" w:rsidR="0033510B" w:rsidRPr="00D24FAE" w:rsidRDefault="0033510B" w:rsidP="00E42FD3">
      <w:pPr>
        <w:jc w:val="both"/>
        <w:rPr>
          <w:rFonts w:ascii="Garamond" w:hAnsi="Garamond" w:cs="Calibri"/>
        </w:rPr>
      </w:pPr>
    </w:p>
    <w:p w14:paraId="32A9954C" w14:textId="2C0C33A3" w:rsidR="0033510B" w:rsidRDefault="0033510B" w:rsidP="00E42FD3">
      <w:pPr>
        <w:jc w:val="both"/>
        <w:rPr>
          <w:rFonts w:ascii="Garamond" w:hAnsi="Garamond" w:cs="Calibri"/>
          <w:i/>
        </w:rPr>
      </w:pPr>
      <w:r w:rsidRPr="00D24FAE">
        <w:rPr>
          <w:rFonts w:ascii="Garamond" w:hAnsi="Garamond" w:cs="Calibri"/>
          <w:i/>
        </w:rPr>
        <w:t xml:space="preserve">Chacun de ces axes </w:t>
      </w:r>
      <w:r w:rsidR="000F7C7D">
        <w:rPr>
          <w:rFonts w:ascii="Garamond" w:hAnsi="Garamond" w:cs="Calibri"/>
          <w:i/>
        </w:rPr>
        <w:t>est</w:t>
      </w:r>
      <w:r w:rsidR="000F7C7D" w:rsidRPr="00D24FAE">
        <w:rPr>
          <w:rFonts w:ascii="Garamond" w:hAnsi="Garamond" w:cs="Calibri"/>
          <w:i/>
        </w:rPr>
        <w:t xml:space="preserve"> </w:t>
      </w:r>
      <w:r w:rsidRPr="00D24FAE">
        <w:rPr>
          <w:rFonts w:ascii="Garamond" w:hAnsi="Garamond" w:cs="Calibri"/>
          <w:i/>
        </w:rPr>
        <w:t xml:space="preserve">à la fois transdisciplinaire et comparatif. Il </w:t>
      </w:r>
      <w:r w:rsidR="001B1991">
        <w:rPr>
          <w:rFonts w:ascii="Garamond" w:hAnsi="Garamond" w:cs="Calibri"/>
          <w:i/>
        </w:rPr>
        <w:t>entend réunir</w:t>
      </w:r>
      <w:r w:rsidRPr="00D24FAE">
        <w:rPr>
          <w:rFonts w:ascii="Garamond" w:hAnsi="Garamond" w:cs="Calibri"/>
          <w:i/>
        </w:rPr>
        <w:t xml:space="preserve"> dans un même espace de recherche, doctorant</w:t>
      </w:r>
      <w:r w:rsidR="00894F11">
        <w:rPr>
          <w:rFonts w:ascii="Garamond" w:hAnsi="Garamond" w:cs="Calibri"/>
          <w:i/>
        </w:rPr>
        <w:t>(e)</w:t>
      </w:r>
      <w:r w:rsidRPr="00D24FAE">
        <w:rPr>
          <w:rFonts w:ascii="Garamond" w:hAnsi="Garamond" w:cs="Calibri"/>
          <w:i/>
        </w:rPr>
        <w:t xml:space="preserve">s, </w:t>
      </w:r>
      <w:proofErr w:type="spellStart"/>
      <w:r w:rsidRPr="00D24FAE">
        <w:rPr>
          <w:rFonts w:ascii="Garamond" w:hAnsi="Garamond" w:cs="Calibri"/>
          <w:i/>
        </w:rPr>
        <w:t>post-doctorant</w:t>
      </w:r>
      <w:proofErr w:type="spellEnd"/>
      <w:r w:rsidR="00894F11">
        <w:rPr>
          <w:rFonts w:ascii="Garamond" w:hAnsi="Garamond" w:cs="Calibri"/>
          <w:i/>
        </w:rPr>
        <w:t>(e)</w:t>
      </w:r>
      <w:r w:rsidRPr="00D24FAE">
        <w:rPr>
          <w:rFonts w:ascii="Garamond" w:hAnsi="Garamond" w:cs="Calibri"/>
          <w:i/>
        </w:rPr>
        <w:t>s et spécialistes de diverses périodes et aires géoculturelles et de disciplines différentes. On s’y interrogera en particulier sur les logiques et les rhétoriques à l’œuvre, les régularités ainsi que de possibles invariants et faits de structures. Ses animateurs se réuniront à intervalle régulier et organiseront une journée d’études annuelle</w:t>
      </w:r>
      <w:r w:rsidR="00BD4792">
        <w:rPr>
          <w:rFonts w:ascii="Garamond" w:hAnsi="Garamond" w:cs="Calibri"/>
          <w:i/>
        </w:rPr>
        <w:t>, activités auxquels les lauréat</w:t>
      </w:r>
      <w:r w:rsidR="00894F11">
        <w:rPr>
          <w:rFonts w:ascii="Garamond" w:hAnsi="Garamond" w:cs="Calibri"/>
          <w:i/>
        </w:rPr>
        <w:t>(e)</w:t>
      </w:r>
      <w:r w:rsidR="00BD4792">
        <w:rPr>
          <w:rFonts w:ascii="Garamond" w:hAnsi="Garamond" w:cs="Calibri"/>
          <w:i/>
        </w:rPr>
        <w:t>s des contrats doctoraux seront appelé</w:t>
      </w:r>
      <w:r w:rsidR="00894F11">
        <w:rPr>
          <w:rFonts w:ascii="Garamond" w:hAnsi="Garamond" w:cs="Calibri"/>
          <w:i/>
        </w:rPr>
        <w:t>(e)</w:t>
      </w:r>
      <w:r w:rsidR="00BD4792">
        <w:rPr>
          <w:rFonts w:ascii="Garamond" w:hAnsi="Garamond" w:cs="Calibri"/>
          <w:i/>
        </w:rPr>
        <w:t>s à participer pleinement</w:t>
      </w:r>
      <w:r w:rsidR="00B75F10">
        <w:rPr>
          <w:rFonts w:ascii="Garamond" w:hAnsi="Garamond" w:cs="Calibri"/>
          <w:i/>
        </w:rPr>
        <w:t xml:space="preserve">, sur toute la durée de leur </w:t>
      </w:r>
      <w:r w:rsidR="00A85F9E">
        <w:rPr>
          <w:rFonts w:ascii="Garamond" w:hAnsi="Garamond" w:cs="Calibri"/>
          <w:i/>
        </w:rPr>
        <w:t>parcours doctoral.</w:t>
      </w:r>
    </w:p>
    <w:p w14:paraId="6E245D28" w14:textId="3BAC40CA" w:rsidR="0033732D" w:rsidRDefault="0033732D" w:rsidP="0033732D">
      <w:pPr>
        <w:rPr>
          <w:rFonts w:ascii="Garamond" w:hAnsi="Garamond" w:cs="Calibri"/>
          <w:i/>
        </w:rPr>
      </w:pPr>
    </w:p>
    <w:p w14:paraId="1596DE58" w14:textId="77777777" w:rsidR="0033732D" w:rsidRDefault="0033732D" w:rsidP="00E42FD3">
      <w:pPr>
        <w:jc w:val="both"/>
        <w:rPr>
          <w:rFonts w:ascii="Garamond" w:hAnsi="Garamond" w:cs="Calibri"/>
          <w:i/>
        </w:rPr>
      </w:pPr>
    </w:p>
    <w:p w14:paraId="454C2CA9" w14:textId="77777777" w:rsidR="0033732D" w:rsidRPr="00D24FAE" w:rsidRDefault="0033732D" w:rsidP="00E42FD3">
      <w:pPr>
        <w:jc w:val="both"/>
        <w:rPr>
          <w:rFonts w:ascii="Garamond" w:hAnsi="Garamond" w:cs="Calibri"/>
          <w:i/>
        </w:rPr>
      </w:pPr>
    </w:p>
    <w:p w14:paraId="010DA838" w14:textId="77777777" w:rsidR="00C65D67" w:rsidRPr="00391579" w:rsidRDefault="00C65D67" w:rsidP="00E42FD3">
      <w:pPr>
        <w:jc w:val="both"/>
        <w:rPr>
          <w:rFonts w:ascii="Garamond" w:hAnsi="Garamond"/>
          <w:color w:val="000000" w:themeColor="text1"/>
        </w:rPr>
      </w:pPr>
    </w:p>
    <w:sectPr w:rsidR="00C65D67" w:rsidRPr="00391579" w:rsidSect="00A34DEF">
      <w:headerReference w:type="default" r:id="rId20"/>
      <w:pgSz w:w="11906" w:h="16838"/>
      <w:pgMar w:top="1021"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1B6CD" w14:textId="77777777" w:rsidR="002E5E31" w:rsidRDefault="002E5E31" w:rsidP="00972D9F">
      <w:r>
        <w:separator/>
      </w:r>
    </w:p>
  </w:endnote>
  <w:endnote w:type="continuationSeparator" w:id="0">
    <w:p w14:paraId="535D5400" w14:textId="77777777" w:rsidR="002E5E31" w:rsidRDefault="002E5E31" w:rsidP="0097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8C297" w14:textId="77777777" w:rsidR="002E5E31" w:rsidRDefault="002E5E31" w:rsidP="00972D9F">
      <w:r>
        <w:separator/>
      </w:r>
    </w:p>
  </w:footnote>
  <w:footnote w:type="continuationSeparator" w:id="0">
    <w:p w14:paraId="7094E001" w14:textId="77777777" w:rsidR="002E5E31" w:rsidRDefault="002E5E31" w:rsidP="00972D9F">
      <w:r>
        <w:continuationSeparator/>
      </w:r>
    </w:p>
  </w:footnote>
  <w:footnote w:id="1">
    <w:p w14:paraId="2861EA1D" w14:textId="65353269" w:rsidR="002439B7" w:rsidRDefault="002439B7" w:rsidP="001151CA">
      <w:pPr>
        <w:pStyle w:val="Notedebasdepage"/>
        <w:jc w:val="both"/>
      </w:pPr>
      <w:r>
        <w:rPr>
          <w:rStyle w:val="Appelnotedebasdep"/>
        </w:rPr>
        <w:footnoteRef/>
      </w:r>
      <w:r>
        <w:t xml:space="preserve"> </w:t>
      </w:r>
      <w:r w:rsidR="00052B43" w:rsidRPr="00881458">
        <w:rPr>
          <w:rFonts w:ascii="Garamond" w:hAnsi="Garamond"/>
        </w:rPr>
        <w:t>Plus précisément, à un établissement-membre de PSL participant au GPR</w:t>
      </w:r>
      <w:r w:rsidRPr="00881458">
        <w:rPr>
          <w:rFonts w:ascii="Garamond" w:hAnsi="Garamond"/>
        </w:rPr>
        <w:t xml:space="preserve"> </w:t>
      </w:r>
      <w:r w:rsidR="001E148C" w:rsidRPr="00881458">
        <w:rPr>
          <w:rFonts w:ascii="Garamond" w:hAnsi="Garamond"/>
        </w:rPr>
        <w:t>“Les fabriques de l’antique”</w:t>
      </w:r>
      <w:r w:rsidRPr="00881458">
        <w:rPr>
          <w:rFonts w:ascii="Garamond" w:hAnsi="Garamond"/>
        </w:rPr>
        <w:t xml:space="preserve"> : </w:t>
      </w:r>
      <w:r w:rsidR="00F679F2" w:rsidRPr="00881458">
        <w:rPr>
          <w:rFonts w:ascii="Garamond" w:hAnsi="Garamond"/>
        </w:rPr>
        <w:t xml:space="preserve">École </w:t>
      </w:r>
      <w:r w:rsidR="00E14B7B">
        <w:rPr>
          <w:rFonts w:ascii="Garamond" w:hAnsi="Garamond"/>
        </w:rPr>
        <w:t>p</w:t>
      </w:r>
      <w:r w:rsidR="00F679F2" w:rsidRPr="00881458">
        <w:rPr>
          <w:rFonts w:ascii="Garamond" w:hAnsi="Garamond"/>
        </w:rPr>
        <w:t xml:space="preserve">ratique des </w:t>
      </w:r>
      <w:r w:rsidR="00E14B7B">
        <w:rPr>
          <w:rFonts w:ascii="Garamond" w:hAnsi="Garamond"/>
        </w:rPr>
        <w:t>h</w:t>
      </w:r>
      <w:r w:rsidR="00F679F2" w:rsidRPr="00881458">
        <w:rPr>
          <w:rFonts w:ascii="Garamond" w:hAnsi="Garamond"/>
        </w:rPr>
        <w:t xml:space="preserve">autes </w:t>
      </w:r>
      <w:r w:rsidR="00E14B7B">
        <w:rPr>
          <w:rFonts w:ascii="Garamond" w:hAnsi="Garamond"/>
        </w:rPr>
        <w:t>é</w:t>
      </w:r>
      <w:r w:rsidR="00F679F2" w:rsidRPr="00881458">
        <w:rPr>
          <w:rFonts w:ascii="Garamond" w:hAnsi="Garamond"/>
        </w:rPr>
        <w:t xml:space="preserve">tudes, Collège de France, École française d’Extrême-Orient, École </w:t>
      </w:r>
      <w:r w:rsidR="00E14B7B">
        <w:rPr>
          <w:rFonts w:ascii="Garamond" w:hAnsi="Garamond"/>
        </w:rPr>
        <w:t>n</w:t>
      </w:r>
      <w:r w:rsidR="00F679F2" w:rsidRPr="00881458">
        <w:rPr>
          <w:rFonts w:ascii="Garamond" w:hAnsi="Garamond"/>
        </w:rPr>
        <w:t xml:space="preserve">ormale </w:t>
      </w:r>
      <w:r w:rsidR="00E14B7B">
        <w:rPr>
          <w:rFonts w:ascii="Garamond" w:hAnsi="Garamond"/>
        </w:rPr>
        <w:t>s</w:t>
      </w:r>
      <w:r w:rsidR="00F679F2" w:rsidRPr="00881458">
        <w:rPr>
          <w:rFonts w:ascii="Garamond" w:hAnsi="Garamond"/>
        </w:rPr>
        <w:t xml:space="preserve">upérieure, Observatoire de Paris, École </w:t>
      </w:r>
      <w:r w:rsidR="00E14B7B">
        <w:rPr>
          <w:rFonts w:ascii="Garamond" w:hAnsi="Garamond"/>
        </w:rPr>
        <w:t>n</w:t>
      </w:r>
      <w:r w:rsidR="00F679F2" w:rsidRPr="00881458">
        <w:rPr>
          <w:rFonts w:ascii="Garamond" w:hAnsi="Garamond"/>
        </w:rPr>
        <w:t xml:space="preserve">ationale des </w:t>
      </w:r>
      <w:r w:rsidR="00E14B7B">
        <w:rPr>
          <w:rFonts w:ascii="Garamond" w:hAnsi="Garamond"/>
        </w:rPr>
        <w:t>c</w:t>
      </w:r>
      <w:r w:rsidR="00F679F2" w:rsidRPr="00881458">
        <w:rPr>
          <w:rFonts w:ascii="Garamond" w:hAnsi="Garamond"/>
        </w:rPr>
        <w:t>hartes.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95C6" w14:textId="4380E8DC" w:rsidR="008A7814" w:rsidRDefault="007C1B5A">
    <w:pPr>
      <w:pStyle w:val="En-tte"/>
    </w:pPr>
    <w:r>
      <w:rPr>
        <w:rFonts w:ascii="Garamond" w:hAnsi="Garamond"/>
        <w:noProof/>
        <w:color w:val="000000" w:themeColor="text1"/>
        <w14:ligatures w14:val="standardContextual"/>
      </w:rPr>
      <w:drawing>
        <wp:inline distT="0" distB="0" distL="0" distR="0" wp14:anchorId="35A695DE" wp14:editId="17B1C8FF">
          <wp:extent cx="1357576" cy="560983"/>
          <wp:effectExtent l="0" t="0" r="1905" b="0"/>
          <wp:docPr id="162411069" name="Image 1" descr="Une image contenant Police, Graphique,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11069" name="Image 1" descr="Une image contenant Police, Graphique, symbole, logo&#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9647" cy="619690"/>
                  </a:xfrm>
                  <a:prstGeom prst="rect">
                    <a:avLst/>
                  </a:prstGeom>
                </pic:spPr>
              </pic:pic>
            </a:graphicData>
          </a:graphic>
        </wp:inline>
      </w:drawing>
    </w:r>
    <w:r>
      <w:t xml:space="preserve">     </w:t>
    </w:r>
    <w:r>
      <w:rPr>
        <w:noProof/>
        <w14:ligatures w14:val="standardContextual"/>
      </w:rPr>
      <w:drawing>
        <wp:inline distT="0" distB="0" distL="0" distR="0" wp14:anchorId="191BB030" wp14:editId="1C36F355">
          <wp:extent cx="510494" cy="587840"/>
          <wp:effectExtent l="0" t="0" r="0" b="0"/>
          <wp:docPr id="712348040" name="Image 2" descr="Une image contenant texte, Police, Graphiqu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348040" name="Image 2" descr="Une image contenant texte, Police, Graphique, typographie&#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555905" cy="640132"/>
                  </a:xfrm>
                  <a:prstGeom prst="rect">
                    <a:avLst/>
                  </a:prstGeom>
                </pic:spPr>
              </pic:pic>
            </a:graphicData>
          </a:graphic>
        </wp:inline>
      </w:drawing>
    </w:r>
  </w:p>
  <w:p w14:paraId="1D459179" w14:textId="77777777" w:rsidR="008A7814" w:rsidRDefault="008A7814">
    <w:pPr>
      <w:pStyle w:val="En-tte"/>
    </w:pPr>
  </w:p>
  <w:p w14:paraId="10EA8EE0" w14:textId="77777777" w:rsidR="008A7814" w:rsidRDefault="008A781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D36E0"/>
    <w:multiLevelType w:val="hybridMultilevel"/>
    <w:tmpl w:val="764A8C24"/>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29AB3B82"/>
    <w:multiLevelType w:val="multilevel"/>
    <w:tmpl w:val="6AFC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F1596F"/>
    <w:multiLevelType w:val="hybridMultilevel"/>
    <w:tmpl w:val="89809B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7509819">
    <w:abstractNumId w:val="1"/>
  </w:num>
  <w:num w:numId="2" w16cid:durableId="2030060204">
    <w:abstractNumId w:val="0"/>
  </w:num>
  <w:num w:numId="3" w16cid:durableId="667558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DEF"/>
    <w:rsid w:val="000253E0"/>
    <w:rsid w:val="00026678"/>
    <w:rsid w:val="00032F9D"/>
    <w:rsid w:val="00042B35"/>
    <w:rsid w:val="00046C5F"/>
    <w:rsid w:val="00052B43"/>
    <w:rsid w:val="0005438D"/>
    <w:rsid w:val="00082D12"/>
    <w:rsid w:val="000A2F5C"/>
    <w:rsid w:val="000B00B5"/>
    <w:rsid w:val="000B3EAE"/>
    <w:rsid w:val="000C2B10"/>
    <w:rsid w:val="000C7A35"/>
    <w:rsid w:val="000D46E9"/>
    <w:rsid w:val="000E595C"/>
    <w:rsid w:val="000F0C37"/>
    <w:rsid w:val="000F6E34"/>
    <w:rsid w:val="000F7C7D"/>
    <w:rsid w:val="0010219F"/>
    <w:rsid w:val="00104F08"/>
    <w:rsid w:val="001078BB"/>
    <w:rsid w:val="001151CA"/>
    <w:rsid w:val="00132798"/>
    <w:rsid w:val="0014790A"/>
    <w:rsid w:val="001502C0"/>
    <w:rsid w:val="0019679E"/>
    <w:rsid w:val="00197348"/>
    <w:rsid w:val="001B1991"/>
    <w:rsid w:val="001C4A60"/>
    <w:rsid w:val="001D3D3A"/>
    <w:rsid w:val="001E148C"/>
    <w:rsid w:val="001E6BEA"/>
    <w:rsid w:val="00217058"/>
    <w:rsid w:val="00221079"/>
    <w:rsid w:val="002439B7"/>
    <w:rsid w:val="002446ED"/>
    <w:rsid w:val="00246E82"/>
    <w:rsid w:val="002765DF"/>
    <w:rsid w:val="00280DAE"/>
    <w:rsid w:val="002A265C"/>
    <w:rsid w:val="002A7179"/>
    <w:rsid w:val="002C0A6C"/>
    <w:rsid w:val="002D0214"/>
    <w:rsid w:val="002E5E31"/>
    <w:rsid w:val="002F54D3"/>
    <w:rsid w:val="002F6350"/>
    <w:rsid w:val="00307BE0"/>
    <w:rsid w:val="003107AE"/>
    <w:rsid w:val="0032009F"/>
    <w:rsid w:val="003231A8"/>
    <w:rsid w:val="0032489A"/>
    <w:rsid w:val="0033510B"/>
    <w:rsid w:val="003360B5"/>
    <w:rsid w:val="0033732D"/>
    <w:rsid w:val="00351A00"/>
    <w:rsid w:val="003776BF"/>
    <w:rsid w:val="0038632D"/>
    <w:rsid w:val="00391579"/>
    <w:rsid w:val="003C3DCC"/>
    <w:rsid w:val="003F0567"/>
    <w:rsid w:val="004150D1"/>
    <w:rsid w:val="004225EC"/>
    <w:rsid w:val="00441D0D"/>
    <w:rsid w:val="0044348A"/>
    <w:rsid w:val="00451B51"/>
    <w:rsid w:val="0046029C"/>
    <w:rsid w:val="00481EC3"/>
    <w:rsid w:val="00491A4C"/>
    <w:rsid w:val="00495A3A"/>
    <w:rsid w:val="00497C46"/>
    <w:rsid w:val="004F0823"/>
    <w:rsid w:val="004F16E3"/>
    <w:rsid w:val="00516D43"/>
    <w:rsid w:val="00517AAD"/>
    <w:rsid w:val="00523B67"/>
    <w:rsid w:val="005321B2"/>
    <w:rsid w:val="00563872"/>
    <w:rsid w:val="005860EC"/>
    <w:rsid w:val="005B3BC3"/>
    <w:rsid w:val="005F67EB"/>
    <w:rsid w:val="006017E1"/>
    <w:rsid w:val="0061719D"/>
    <w:rsid w:val="00621E9D"/>
    <w:rsid w:val="00622ECC"/>
    <w:rsid w:val="00625264"/>
    <w:rsid w:val="00631E43"/>
    <w:rsid w:val="006437B5"/>
    <w:rsid w:val="00644E88"/>
    <w:rsid w:val="00687085"/>
    <w:rsid w:val="006B6378"/>
    <w:rsid w:val="006D2C9E"/>
    <w:rsid w:val="006D4523"/>
    <w:rsid w:val="006F1387"/>
    <w:rsid w:val="007045A2"/>
    <w:rsid w:val="0075235E"/>
    <w:rsid w:val="00754825"/>
    <w:rsid w:val="00767D40"/>
    <w:rsid w:val="00775986"/>
    <w:rsid w:val="007A4E12"/>
    <w:rsid w:val="007A5C45"/>
    <w:rsid w:val="007C1B5A"/>
    <w:rsid w:val="007E3591"/>
    <w:rsid w:val="007F45D2"/>
    <w:rsid w:val="008275DE"/>
    <w:rsid w:val="008360A3"/>
    <w:rsid w:val="00844875"/>
    <w:rsid w:val="0086495F"/>
    <w:rsid w:val="00867AA4"/>
    <w:rsid w:val="00881458"/>
    <w:rsid w:val="008827A6"/>
    <w:rsid w:val="00894F11"/>
    <w:rsid w:val="008976F3"/>
    <w:rsid w:val="008A26D1"/>
    <w:rsid w:val="008A4F5F"/>
    <w:rsid w:val="008A73B3"/>
    <w:rsid w:val="008A7814"/>
    <w:rsid w:val="008C060F"/>
    <w:rsid w:val="008C73C5"/>
    <w:rsid w:val="008D36CB"/>
    <w:rsid w:val="008E409B"/>
    <w:rsid w:val="008E574B"/>
    <w:rsid w:val="009032C5"/>
    <w:rsid w:val="00910B1A"/>
    <w:rsid w:val="00920ED2"/>
    <w:rsid w:val="0093407B"/>
    <w:rsid w:val="009347A7"/>
    <w:rsid w:val="00934906"/>
    <w:rsid w:val="009353BC"/>
    <w:rsid w:val="0094444F"/>
    <w:rsid w:val="0094450B"/>
    <w:rsid w:val="00972D9F"/>
    <w:rsid w:val="00976B7A"/>
    <w:rsid w:val="009D4F54"/>
    <w:rsid w:val="009E390C"/>
    <w:rsid w:val="009E439E"/>
    <w:rsid w:val="009F1AF3"/>
    <w:rsid w:val="009F55B6"/>
    <w:rsid w:val="00A00D7B"/>
    <w:rsid w:val="00A02A0A"/>
    <w:rsid w:val="00A17C96"/>
    <w:rsid w:val="00A2413B"/>
    <w:rsid w:val="00A34DEF"/>
    <w:rsid w:val="00A4530A"/>
    <w:rsid w:val="00A50B8C"/>
    <w:rsid w:val="00A57EA5"/>
    <w:rsid w:val="00A61504"/>
    <w:rsid w:val="00A81351"/>
    <w:rsid w:val="00A83FEA"/>
    <w:rsid w:val="00A85F9E"/>
    <w:rsid w:val="00A904C2"/>
    <w:rsid w:val="00A960C5"/>
    <w:rsid w:val="00AB4FF7"/>
    <w:rsid w:val="00B37E6F"/>
    <w:rsid w:val="00B42859"/>
    <w:rsid w:val="00B55ACF"/>
    <w:rsid w:val="00B735BC"/>
    <w:rsid w:val="00B75F10"/>
    <w:rsid w:val="00B82E8B"/>
    <w:rsid w:val="00B83409"/>
    <w:rsid w:val="00B85432"/>
    <w:rsid w:val="00B86043"/>
    <w:rsid w:val="00BC7CB5"/>
    <w:rsid w:val="00BD246C"/>
    <w:rsid w:val="00BD4792"/>
    <w:rsid w:val="00BD5F32"/>
    <w:rsid w:val="00C033A4"/>
    <w:rsid w:val="00C04BBE"/>
    <w:rsid w:val="00C26531"/>
    <w:rsid w:val="00C34CBB"/>
    <w:rsid w:val="00C4266A"/>
    <w:rsid w:val="00C44238"/>
    <w:rsid w:val="00C47FC8"/>
    <w:rsid w:val="00C541C8"/>
    <w:rsid w:val="00C65D67"/>
    <w:rsid w:val="00CA0C32"/>
    <w:rsid w:val="00CA6EF8"/>
    <w:rsid w:val="00CC0CCA"/>
    <w:rsid w:val="00CD4BFC"/>
    <w:rsid w:val="00CD6894"/>
    <w:rsid w:val="00D019F2"/>
    <w:rsid w:val="00D10D11"/>
    <w:rsid w:val="00D14759"/>
    <w:rsid w:val="00D6358E"/>
    <w:rsid w:val="00D753E3"/>
    <w:rsid w:val="00DA1B91"/>
    <w:rsid w:val="00DA5D1C"/>
    <w:rsid w:val="00DA6C9A"/>
    <w:rsid w:val="00DB3D76"/>
    <w:rsid w:val="00DD1DA9"/>
    <w:rsid w:val="00E00F36"/>
    <w:rsid w:val="00E02C37"/>
    <w:rsid w:val="00E14B7B"/>
    <w:rsid w:val="00E2382C"/>
    <w:rsid w:val="00E341F6"/>
    <w:rsid w:val="00E348A2"/>
    <w:rsid w:val="00E42FD3"/>
    <w:rsid w:val="00E5096E"/>
    <w:rsid w:val="00E62177"/>
    <w:rsid w:val="00E95780"/>
    <w:rsid w:val="00EB7A75"/>
    <w:rsid w:val="00EC57B4"/>
    <w:rsid w:val="00F328F0"/>
    <w:rsid w:val="00F47DA6"/>
    <w:rsid w:val="00F51044"/>
    <w:rsid w:val="00F679F2"/>
    <w:rsid w:val="00F776FF"/>
    <w:rsid w:val="00F80ABB"/>
    <w:rsid w:val="00F93D09"/>
    <w:rsid w:val="00FB4E14"/>
    <w:rsid w:val="00FB5F5D"/>
    <w:rsid w:val="00FE28B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F12E"/>
  <w15:chartTrackingRefBased/>
  <w15:docId w15:val="{D06EAEC6-65EE-BF43-9E1C-3353C8A3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DEF"/>
    <w:rPr>
      <w:rFonts w:ascii="Times New Roman" w:eastAsia="Times New Roman" w:hAnsi="Times New Roman" w:cs="Times New Roman"/>
      <w:kern w:val="0"/>
      <w:lang w:val="fr-FR" w:eastAsia="fr-FR"/>
      <w14:ligatures w14:val="none"/>
    </w:rPr>
  </w:style>
  <w:style w:type="paragraph" w:styleId="Titre1">
    <w:name w:val="heading 1"/>
    <w:basedOn w:val="Normal"/>
    <w:next w:val="Normal"/>
    <w:link w:val="Titre1Car"/>
    <w:uiPriority w:val="9"/>
    <w:qFormat/>
    <w:rsid w:val="00A34D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nhideWhenUsed/>
    <w:qFormat/>
    <w:rsid w:val="00A34D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34DE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34DE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34DE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34DE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34DE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34DE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34DE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4DE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34DE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34DE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34DE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34DE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34DE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34DE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34DE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34DEF"/>
    <w:rPr>
      <w:rFonts w:eastAsiaTheme="majorEastAsia" w:cstheme="majorBidi"/>
      <w:color w:val="272727" w:themeColor="text1" w:themeTint="D8"/>
    </w:rPr>
  </w:style>
  <w:style w:type="paragraph" w:styleId="Titre">
    <w:name w:val="Title"/>
    <w:basedOn w:val="Normal"/>
    <w:next w:val="Normal"/>
    <w:link w:val="TitreCar"/>
    <w:uiPriority w:val="10"/>
    <w:qFormat/>
    <w:rsid w:val="00A34DE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34DE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34DEF"/>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34DE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34DE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34DEF"/>
    <w:rPr>
      <w:i/>
      <w:iCs/>
      <w:color w:val="404040" w:themeColor="text1" w:themeTint="BF"/>
    </w:rPr>
  </w:style>
  <w:style w:type="paragraph" w:styleId="Paragraphedeliste">
    <w:name w:val="List Paragraph"/>
    <w:basedOn w:val="Normal"/>
    <w:uiPriority w:val="34"/>
    <w:qFormat/>
    <w:rsid w:val="00A34DEF"/>
    <w:pPr>
      <w:ind w:left="720"/>
      <w:contextualSpacing/>
    </w:pPr>
  </w:style>
  <w:style w:type="character" w:styleId="Accentuationintense">
    <w:name w:val="Intense Emphasis"/>
    <w:basedOn w:val="Policepardfaut"/>
    <w:uiPriority w:val="21"/>
    <w:qFormat/>
    <w:rsid w:val="00A34DEF"/>
    <w:rPr>
      <w:i/>
      <w:iCs/>
      <w:color w:val="0F4761" w:themeColor="accent1" w:themeShade="BF"/>
    </w:rPr>
  </w:style>
  <w:style w:type="paragraph" w:styleId="Citationintense">
    <w:name w:val="Intense Quote"/>
    <w:basedOn w:val="Normal"/>
    <w:next w:val="Normal"/>
    <w:link w:val="CitationintenseCar"/>
    <w:uiPriority w:val="30"/>
    <w:qFormat/>
    <w:rsid w:val="00A34D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34DEF"/>
    <w:rPr>
      <w:i/>
      <w:iCs/>
      <w:color w:val="0F4761" w:themeColor="accent1" w:themeShade="BF"/>
    </w:rPr>
  </w:style>
  <w:style w:type="character" w:styleId="Rfrenceintense">
    <w:name w:val="Intense Reference"/>
    <w:basedOn w:val="Policepardfaut"/>
    <w:uiPriority w:val="32"/>
    <w:qFormat/>
    <w:rsid w:val="00A34DEF"/>
    <w:rPr>
      <w:b/>
      <w:bCs/>
      <w:smallCaps/>
      <w:color w:val="0F4761" w:themeColor="accent1" w:themeShade="BF"/>
      <w:spacing w:val="5"/>
    </w:rPr>
  </w:style>
  <w:style w:type="character" w:styleId="Lienhypertexte">
    <w:name w:val="Hyperlink"/>
    <w:rsid w:val="00A34DEF"/>
    <w:rPr>
      <w:color w:val="0000FF"/>
      <w:u w:val="single"/>
    </w:rPr>
  </w:style>
  <w:style w:type="character" w:styleId="lev">
    <w:name w:val="Strong"/>
    <w:qFormat/>
    <w:rsid w:val="00A34DEF"/>
    <w:rPr>
      <w:b/>
      <w:bCs/>
    </w:rPr>
  </w:style>
  <w:style w:type="paragraph" w:styleId="NormalWeb">
    <w:name w:val="Normal (Web)"/>
    <w:basedOn w:val="Normal"/>
    <w:rsid w:val="00A34DEF"/>
    <w:pPr>
      <w:spacing w:before="100" w:beforeAutospacing="1" w:after="100" w:afterAutospacing="1"/>
    </w:pPr>
  </w:style>
  <w:style w:type="paragraph" w:styleId="En-tte">
    <w:name w:val="header"/>
    <w:basedOn w:val="Normal"/>
    <w:link w:val="En-tteCar"/>
    <w:rsid w:val="00A34DEF"/>
    <w:pPr>
      <w:tabs>
        <w:tab w:val="center" w:pos="4536"/>
        <w:tab w:val="right" w:pos="9072"/>
      </w:tabs>
    </w:pPr>
  </w:style>
  <w:style w:type="character" w:customStyle="1" w:styleId="En-tteCar">
    <w:name w:val="En-tête Car"/>
    <w:basedOn w:val="Policepardfaut"/>
    <w:link w:val="En-tte"/>
    <w:rsid w:val="00A34DEF"/>
    <w:rPr>
      <w:rFonts w:ascii="Times New Roman" w:eastAsia="Times New Roman" w:hAnsi="Times New Roman" w:cs="Times New Roman"/>
      <w:kern w:val="0"/>
      <w:lang w:val="fr-FR" w:eastAsia="fr-FR"/>
      <w14:ligatures w14:val="none"/>
    </w:rPr>
  </w:style>
  <w:style w:type="paragraph" w:styleId="Pieddepage">
    <w:name w:val="footer"/>
    <w:basedOn w:val="Normal"/>
    <w:link w:val="PieddepageCar"/>
    <w:uiPriority w:val="99"/>
    <w:unhideWhenUsed/>
    <w:rsid w:val="00972D9F"/>
    <w:pPr>
      <w:tabs>
        <w:tab w:val="center" w:pos="4536"/>
        <w:tab w:val="right" w:pos="9072"/>
      </w:tabs>
    </w:pPr>
  </w:style>
  <w:style w:type="character" w:customStyle="1" w:styleId="PieddepageCar">
    <w:name w:val="Pied de page Car"/>
    <w:basedOn w:val="Policepardfaut"/>
    <w:link w:val="Pieddepage"/>
    <w:uiPriority w:val="99"/>
    <w:rsid w:val="00972D9F"/>
    <w:rPr>
      <w:rFonts w:ascii="Times New Roman" w:eastAsia="Times New Roman" w:hAnsi="Times New Roman" w:cs="Times New Roman"/>
      <w:kern w:val="0"/>
      <w:lang w:val="fr-FR" w:eastAsia="fr-FR"/>
      <w14:ligatures w14:val="none"/>
    </w:rPr>
  </w:style>
  <w:style w:type="character" w:styleId="Mentionnonrsolue">
    <w:name w:val="Unresolved Mention"/>
    <w:basedOn w:val="Policepardfaut"/>
    <w:uiPriority w:val="99"/>
    <w:semiHidden/>
    <w:unhideWhenUsed/>
    <w:rsid w:val="00AB4FF7"/>
    <w:rPr>
      <w:color w:val="605E5C"/>
      <w:shd w:val="clear" w:color="auto" w:fill="E1DFDD"/>
    </w:rPr>
  </w:style>
  <w:style w:type="paragraph" w:styleId="Rvision">
    <w:name w:val="Revision"/>
    <w:hidden/>
    <w:uiPriority w:val="99"/>
    <w:semiHidden/>
    <w:rsid w:val="0086495F"/>
    <w:rPr>
      <w:rFonts w:ascii="Times New Roman" w:eastAsia="Times New Roman" w:hAnsi="Times New Roman" w:cs="Times New Roman"/>
      <w:kern w:val="0"/>
      <w:lang w:val="fr-FR" w:eastAsia="fr-FR"/>
      <w14:ligatures w14:val="none"/>
    </w:rPr>
  </w:style>
  <w:style w:type="character" w:styleId="Marquedecommentaire">
    <w:name w:val="annotation reference"/>
    <w:basedOn w:val="Policepardfaut"/>
    <w:uiPriority w:val="99"/>
    <w:semiHidden/>
    <w:unhideWhenUsed/>
    <w:rsid w:val="000253E0"/>
    <w:rPr>
      <w:sz w:val="16"/>
      <w:szCs w:val="16"/>
    </w:rPr>
  </w:style>
  <w:style w:type="paragraph" w:styleId="Commentaire">
    <w:name w:val="annotation text"/>
    <w:basedOn w:val="Normal"/>
    <w:link w:val="CommentaireCar"/>
    <w:uiPriority w:val="99"/>
    <w:semiHidden/>
    <w:unhideWhenUsed/>
    <w:rsid w:val="000253E0"/>
    <w:rPr>
      <w:sz w:val="20"/>
      <w:szCs w:val="20"/>
    </w:rPr>
  </w:style>
  <w:style w:type="character" w:customStyle="1" w:styleId="CommentaireCar">
    <w:name w:val="Commentaire Car"/>
    <w:basedOn w:val="Policepardfaut"/>
    <w:link w:val="Commentaire"/>
    <w:uiPriority w:val="99"/>
    <w:semiHidden/>
    <w:rsid w:val="000253E0"/>
    <w:rPr>
      <w:rFonts w:ascii="Times New Roman" w:eastAsia="Times New Roman" w:hAnsi="Times New Roman" w:cs="Times New Roman"/>
      <w:kern w:val="0"/>
      <w:sz w:val="20"/>
      <w:szCs w:val="20"/>
      <w:lang w:val="fr-FR" w:eastAsia="fr-FR"/>
      <w14:ligatures w14:val="none"/>
    </w:rPr>
  </w:style>
  <w:style w:type="paragraph" w:styleId="Objetducommentaire">
    <w:name w:val="annotation subject"/>
    <w:basedOn w:val="Commentaire"/>
    <w:next w:val="Commentaire"/>
    <w:link w:val="ObjetducommentaireCar"/>
    <w:uiPriority w:val="99"/>
    <w:semiHidden/>
    <w:unhideWhenUsed/>
    <w:rsid w:val="000253E0"/>
    <w:rPr>
      <w:b/>
      <w:bCs/>
    </w:rPr>
  </w:style>
  <w:style w:type="character" w:customStyle="1" w:styleId="ObjetducommentaireCar">
    <w:name w:val="Objet du commentaire Car"/>
    <w:basedOn w:val="CommentaireCar"/>
    <w:link w:val="Objetducommentaire"/>
    <w:uiPriority w:val="99"/>
    <w:semiHidden/>
    <w:rsid w:val="000253E0"/>
    <w:rPr>
      <w:rFonts w:ascii="Times New Roman" w:eastAsia="Times New Roman" w:hAnsi="Times New Roman" w:cs="Times New Roman"/>
      <w:b/>
      <w:bCs/>
      <w:kern w:val="0"/>
      <w:sz w:val="20"/>
      <w:szCs w:val="20"/>
      <w:lang w:val="fr-FR" w:eastAsia="fr-FR"/>
      <w14:ligatures w14:val="none"/>
    </w:rPr>
  </w:style>
  <w:style w:type="paragraph" w:styleId="Notedebasdepage">
    <w:name w:val="footnote text"/>
    <w:basedOn w:val="Normal"/>
    <w:link w:val="NotedebasdepageCar"/>
    <w:uiPriority w:val="99"/>
    <w:unhideWhenUsed/>
    <w:rsid w:val="002439B7"/>
    <w:rPr>
      <w:sz w:val="20"/>
      <w:szCs w:val="20"/>
    </w:rPr>
  </w:style>
  <w:style w:type="character" w:customStyle="1" w:styleId="NotedebasdepageCar">
    <w:name w:val="Note de bas de page Car"/>
    <w:basedOn w:val="Policepardfaut"/>
    <w:link w:val="Notedebasdepage"/>
    <w:uiPriority w:val="99"/>
    <w:rsid w:val="002439B7"/>
    <w:rPr>
      <w:rFonts w:ascii="Times New Roman" w:eastAsia="Times New Roman" w:hAnsi="Times New Roman" w:cs="Times New Roman"/>
      <w:kern w:val="0"/>
      <w:sz w:val="20"/>
      <w:szCs w:val="20"/>
      <w:lang w:val="fr-FR" w:eastAsia="fr-FR"/>
      <w14:ligatures w14:val="none"/>
    </w:rPr>
  </w:style>
  <w:style w:type="character" w:styleId="Appelnotedebasdep">
    <w:name w:val="footnote reference"/>
    <w:basedOn w:val="Policepardfaut"/>
    <w:uiPriority w:val="99"/>
    <w:semiHidden/>
    <w:unhideWhenUsed/>
    <w:rsid w:val="002439B7"/>
    <w:rPr>
      <w:vertAlign w:val="superscript"/>
    </w:rPr>
  </w:style>
  <w:style w:type="paragraph" w:styleId="Textedebulles">
    <w:name w:val="Balloon Text"/>
    <w:basedOn w:val="Normal"/>
    <w:link w:val="TextedebullesCar"/>
    <w:uiPriority w:val="99"/>
    <w:semiHidden/>
    <w:unhideWhenUsed/>
    <w:rsid w:val="00497C46"/>
    <w:rPr>
      <w:rFonts w:ascii="Segoe UI" w:hAnsi="Segoe UI" w:cs="Segoe UI"/>
      <w:sz w:val="18"/>
      <w:szCs w:val="18"/>
    </w:rPr>
  </w:style>
  <w:style w:type="character" w:customStyle="1" w:styleId="TextedebullesCar">
    <w:name w:val="Texte de bulles Car"/>
    <w:basedOn w:val="Policepardfaut"/>
    <w:link w:val="Textedebulles"/>
    <w:uiPriority w:val="99"/>
    <w:semiHidden/>
    <w:rsid w:val="00497C46"/>
    <w:rPr>
      <w:rFonts w:ascii="Segoe UI" w:eastAsia="Times New Roman" w:hAnsi="Segoe UI" w:cs="Segoe UI"/>
      <w:kern w:val="0"/>
      <w:sz w:val="18"/>
      <w:szCs w:val="18"/>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404625">
      <w:bodyDiv w:val="1"/>
      <w:marLeft w:val="0"/>
      <w:marRight w:val="0"/>
      <w:marTop w:val="0"/>
      <w:marBottom w:val="0"/>
      <w:divBdr>
        <w:top w:val="none" w:sz="0" w:space="0" w:color="auto"/>
        <w:left w:val="none" w:sz="0" w:space="0" w:color="auto"/>
        <w:bottom w:val="none" w:sz="0" w:space="0" w:color="auto"/>
        <w:right w:val="none" w:sz="0" w:space="0" w:color="auto"/>
      </w:divBdr>
      <w:divsChild>
        <w:div w:id="1990204226">
          <w:marLeft w:val="0"/>
          <w:marRight w:val="0"/>
          <w:marTop w:val="0"/>
          <w:marBottom w:val="0"/>
          <w:divBdr>
            <w:top w:val="none" w:sz="0" w:space="0" w:color="auto"/>
            <w:left w:val="none" w:sz="0" w:space="0" w:color="auto"/>
            <w:bottom w:val="none" w:sz="0" w:space="0" w:color="auto"/>
            <w:right w:val="none" w:sz="0" w:space="0" w:color="auto"/>
          </w:divBdr>
        </w:div>
        <w:div w:id="1132406339">
          <w:marLeft w:val="0"/>
          <w:marRight w:val="0"/>
          <w:marTop w:val="0"/>
          <w:marBottom w:val="0"/>
          <w:divBdr>
            <w:top w:val="none" w:sz="0" w:space="0" w:color="auto"/>
            <w:left w:val="none" w:sz="0" w:space="0" w:color="auto"/>
            <w:bottom w:val="none" w:sz="0" w:space="0" w:color="auto"/>
            <w:right w:val="none" w:sz="0" w:space="0" w:color="auto"/>
          </w:divBdr>
        </w:div>
        <w:div w:id="1880118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eo.ens.fr/" TargetMode="External"/><Relationship Id="rId13" Type="http://schemas.openxmlformats.org/officeDocument/2006/relationships/hyperlink" Target="https://gsrl-cnrs.fr/" TargetMode="External"/><Relationship Id="rId18" Type="http://schemas.openxmlformats.org/officeDocument/2006/relationships/hyperlink" Target="mailto:contact@fab-antique.f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nhima.fr/" TargetMode="External"/><Relationship Id="rId12" Type="http://schemas.openxmlformats.org/officeDocument/2006/relationships/hyperlink" Target="https://grei.fr/" TargetMode="External"/><Relationship Id="rId17" Type="http://schemas.openxmlformats.org/officeDocument/2006/relationships/hyperlink" Target="https://www.saprat.fr/" TargetMode="External"/><Relationship Id="rId2" Type="http://schemas.openxmlformats.org/officeDocument/2006/relationships/styles" Target="styles.xml"/><Relationship Id="rId16" Type="http://schemas.openxmlformats.org/officeDocument/2006/relationships/hyperlink" Target="https://www.orient-mediterranee.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mr8230.cnrs.fr/" TargetMode="External"/><Relationship Id="rId5" Type="http://schemas.openxmlformats.org/officeDocument/2006/relationships/footnotes" Target="footnotes.xml"/><Relationship Id="rId15" Type="http://schemas.openxmlformats.org/officeDocument/2006/relationships/hyperlink" Target="https://lte.observatoiredeparis.psl.eu/" TargetMode="External"/><Relationship Id="rId10" Type="http://schemas.openxmlformats.org/officeDocument/2006/relationships/hyperlink" Target="https://www.crcao.fr/" TargetMode="External"/><Relationship Id="rId19" Type="http://schemas.openxmlformats.org/officeDocument/2006/relationships/hyperlink" Target="mailto:contact@fab-antique.fr" TargetMode="External"/><Relationship Id="rId4" Type="http://schemas.openxmlformats.org/officeDocument/2006/relationships/webSettings" Target="webSettings.xml"/><Relationship Id="rId9" Type="http://schemas.openxmlformats.org/officeDocument/2006/relationships/hyperlink" Target="https://www.archeosciences-bordeaux.fr/" TargetMode="External"/><Relationship Id="rId14" Type="http://schemas.openxmlformats.org/officeDocument/2006/relationships/hyperlink" Target="https://lem-umr8584.cnrs.f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2505</Words>
  <Characters>13778</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Stauder</dc:creator>
  <cp:keywords/>
  <dc:description/>
  <cp:lastModifiedBy>KONTOUMA Vassa</cp:lastModifiedBy>
  <cp:revision>11</cp:revision>
  <dcterms:created xsi:type="dcterms:W3CDTF">2025-03-19T08:58:00Z</dcterms:created>
  <dcterms:modified xsi:type="dcterms:W3CDTF">2025-03-19T10:05:00Z</dcterms:modified>
</cp:coreProperties>
</file>