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45F" w:rsidR="00BD4EB5" w:rsidP="00031471" w:rsidRDefault="00BD4EB5" w14:paraId="01F61121" w14:textId="5CD4D221">
      <w:pPr>
        <w:jc w:val="center"/>
        <w:rPr>
          <w:rFonts w:cs="Arial"/>
          <w:b/>
          <w:bCs/>
          <w:color w:val="0D0FB3"/>
          <w:szCs w:val="22"/>
        </w:rPr>
      </w:pPr>
      <w:r w:rsidRPr="0087545F">
        <w:rPr>
          <w:rFonts w:cs="Arial"/>
          <w:b/>
          <w:bCs/>
          <w:color w:val="0D0FB3"/>
          <w:szCs w:val="22"/>
        </w:rPr>
        <w:t>AIDE À LA MOBILITÉ ERASMUS+</w:t>
      </w:r>
    </w:p>
    <w:p w:rsidRPr="0087545F" w:rsidR="00BD4EB5" w:rsidP="00BD4EB5" w:rsidRDefault="00BD4EB5" w14:paraId="17195E7C" w14:textId="77777777">
      <w:pPr>
        <w:jc w:val="center"/>
        <w:rPr>
          <w:rFonts w:cs="Arial"/>
          <w:color w:val="0D0FB3"/>
          <w:szCs w:val="22"/>
        </w:rPr>
      </w:pPr>
      <w:r w:rsidRPr="0087545F">
        <w:rPr>
          <w:rFonts w:cs="Arial"/>
          <w:color w:val="0D0FB3"/>
          <w:szCs w:val="22"/>
        </w:rPr>
        <w:t>Pour les doctorantes et doctorants de l’Université PSL</w:t>
      </w:r>
    </w:p>
    <w:p w:rsidRPr="0087545F" w:rsidR="00BD4EB5" w:rsidP="00BD4EB5" w:rsidRDefault="00BD4EB5" w14:paraId="434A703F" w14:textId="77777777">
      <w:pPr>
        <w:rPr>
          <w:rFonts w:cs="Arial"/>
          <w:szCs w:val="22"/>
        </w:rPr>
      </w:pPr>
    </w:p>
    <w:p w:rsidRPr="0087545F" w:rsidR="00BD4EB5" w:rsidP="00BD4EB5" w:rsidRDefault="00BD4EB5" w14:paraId="19C0F961" w14:textId="77777777">
      <w:pPr>
        <w:rPr>
          <w:rFonts w:cs="Arial"/>
          <w:szCs w:val="22"/>
        </w:rPr>
      </w:pPr>
    </w:p>
    <w:p w:rsidRPr="00027554" w:rsidR="00BD4EB5" w:rsidP="00027554" w:rsidRDefault="00BD4EB5" w14:paraId="1B2BC593" w14:textId="77777777">
      <w:pPr>
        <w:pStyle w:val="Paragraphedeliste"/>
        <w:numPr>
          <w:ilvl w:val="0"/>
          <w:numId w:val="15"/>
        </w:numPr>
        <w:rPr>
          <w:rFonts w:cs="Arial"/>
          <w:b/>
          <w:bCs/>
          <w:szCs w:val="22"/>
        </w:rPr>
      </w:pPr>
      <w:r w:rsidRPr="00027554">
        <w:rPr>
          <w:rFonts w:cs="Arial"/>
          <w:b/>
          <w:bCs/>
          <w:szCs w:val="22"/>
        </w:rPr>
        <w:t>Présentation du dispositif</w:t>
      </w:r>
    </w:p>
    <w:p w:rsidRPr="005B353D" w:rsidR="005B353D" w:rsidP="005B353D" w:rsidRDefault="005B353D" w14:paraId="51FB29F3" w14:textId="77777777"/>
    <w:p w:rsidRPr="0087545F" w:rsidR="00BD4EB5" w:rsidP="1C07F0BB" w:rsidRDefault="00BD4EB5" w14:paraId="794748E1" w14:textId="3DB50D6F">
      <w:pPr>
        <w:rPr>
          <w:rFonts w:cs="Arial"/>
        </w:rPr>
      </w:pPr>
      <w:r w:rsidRPr="05951DF1">
        <w:rPr>
          <w:rFonts w:cs="Arial"/>
        </w:rPr>
        <w:t>À compter de la rentrée 2025-2026, la Direction des Relations Internationales</w:t>
      </w:r>
      <w:r w:rsidRPr="05951DF1" w:rsidR="2E3176C0">
        <w:rPr>
          <w:rFonts w:cs="Arial"/>
        </w:rPr>
        <w:t xml:space="preserve"> (DRI)</w:t>
      </w:r>
      <w:r w:rsidRPr="05951DF1">
        <w:rPr>
          <w:rFonts w:cs="Arial"/>
        </w:rPr>
        <w:t xml:space="preserve"> de </w:t>
      </w:r>
      <w:r w:rsidRPr="05951DF1" w:rsidR="790C618E">
        <w:rPr>
          <w:rFonts w:cs="Arial"/>
        </w:rPr>
        <w:t xml:space="preserve">l’Université </w:t>
      </w:r>
      <w:r w:rsidRPr="05951DF1">
        <w:rPr>
          <w:rFonts w:cs="Arial"/>
        </w:rPr>
        <w:t xml:space="preserve">PSL propose des bourses de mobilité Erasmus+ destinées aux doctorantes et doctorants. Ce dispositif vise à élargir les opportunités de mobilité en Europe, enrichir la formation doctorale et renforcer les collaborations académiques et scientifiques avec </w:t>
      </w:r>
      <w:r w:rsidRPr="05951DF1" w:rsidR="5D95A3B0">
        <w:rPr>
          <w:rFonts w:cs="Arial"/>
        </w:rPr>
        <w:t>de</w:t>
      </w:r>
      <w:r w:rsidRPr="05951DF1">
        <w:rPr>
          <w:rFonts w:cs="Arial"/>
        </w:rPr>
        <w:t xml:space="preserve">s établissements européens partenaires. </w:t>
      </w:r>
    </w:p>
    <w:p w:rsidRPr="0087545F" w:rsidR="00BD4EB5" w:rsidP="00BD4EB5" w:rsidRDefault="00BD4EB5" w14:paraId="3EC3CD95" w14:textId="77777777">
      <w:pPr>
        <w:ind w:firstLine="360"/>
        <w:rPr>
          <w:rFonts w:cs="Arial"/>
          <w:szCs w:val="22"/>
        </w:rPr>
      </w:pPr>
    </w:p>
    <w:p w:rsidRPr="0087545F" w:rsidR="00BD4EB5" w:rsidP="05951DF1" w:rsidRDefault="00BD4EB5" w14:paraId="7A65B69F" w14:textId="49AFC7D0">
      <w:pPr>
        <w:rPr>
          <w:rFonts w:eastAsia="Aptos" w:cs="Arial"/>
        </w:rPr>
      </w:pPr>
      <w:r w:rsidRPr="05951DF1">
        <w:rPr>
          <w:rFonts w:cs="Arial"/>
        </w:rPr>
        <w:t xml:space="preserve">Les séjours peuvent </w:t>
      </w:r>
      <w:r w:rsidRPr="05951DF1" w:rsidR="04C67DBD">
        <w:rPr>
          <w:rFonts w:cs="Arial"/>
        </w:rPr>
        <w:t xml:space="preserve">être réalisés </w:t>
      </w:r>
      <w:r w:rsidRPr="05951DF1">
        <w:rPr>
          <w:rFonts w:cs="Arial"/>
        </w:rPr>
        <w:t>dans un établissement de l’enseignement supérieur, un organisme de recherche</w:t>
      </w:r>
      <w:r w:rsidRPr="05951DF1" w:rsidR="6D4E2714">
        <w:rPr>
          <w:rFonts w:cs="Arial"/>
        </w:rPr>
        <w:t xml:space="preserve"> ou</w:t>
      </w:r>
      <w:r w:rsidRPr="05951DF1">
        <w:rPr>
          <w:rFonts w:cs="Arial"/>
        </w:rPr>
        <w:t xml:space="preserve"> </w:t>
      </w:r>
      <w:r w:rsidRPr="05951DF1" w:rsidR="22A1613D">
        <w:rPr>
          <w:rFonts w:cs="Arial"/>
        </w:rPr>
        <w:t xml:space="preserve">de formation, </w:t>
      </w:r>
      <w:r w:rsidRPr="05951DF1">
        <w:rPr>
          <w:rFonts w:cs="Arial"/>
        </w:rPr>
        <w:t xml:space="preserve">une ONG ou une entreprise. </w:t>
      </w:r>
      <w:r w:rsidRPr="05951DF1">
        <w:rPr>
          <w:rFonts w:eastAsia="Aptos" w:cs="Arial"/>
        </w:rPr>
        <w:t>Tous les pays participant au programme Erasmus+ sont éligibles, ainsi que le Royaume-Uni et la Suisse</w:t>
      </w:r>
      <w:r w:rsidRPr="05951DF1" w:rsidR="74E8E54B">
        <w:rPr>
          <w:rFonts w:eastAsia="Aptos" w:cs="Arial"/>
        </w:rPr>
        <w:t>.</w:t>
      </w:r>
    </w:p>
    <w:p w:rsidR="05951DF1" w:rsidP="05951DF1" w:rsidRDefault="05951DF1" w14:paraId="59436BC9" w14:textId="0ABEB715">
      <w:pPr>
        <w:rPr>
          <w:rFonts w:eastAsia="Aptos" w:cs="Arial"/>
        </w:rPr>
      </w:pPr>
    </w:p>
    <w:p w:rsidR="00BD4EB5" w:rsidP="00BD4EB5" w:rsidRDefault="00BD4EB5" w14:paraId="2B1BF590" w14:textId="77777777">
      <w:pPr>
        <w:pStyle w:val="Paragraphedeliste"/>
        <w:numPr>
          <w:ilvl w:val="0"/>
          <w:numId w:val="15"/>
        </w:numPr>
        <w:rPr>
          <w:rFonts w:cs="Arial"/>
          <w:b/>
          <w:bCs/>
          <w:szCs w:val="22"/>
        </w:rPr>
      </w:pPr>
      <w:r w:rsidRPr="0087545F">
        <w:rPr>
          <w:rFonts w:cs="Arial"/>
          <w:b/>
          <w:bCs/>
          <w:szCs w:val="22"/>
        </w:rPr>
        <w:t>Critères d’éligibilité</w:t>
      </w:r>
    </w:p>
    <w:p w:rsidRPr="0087545F" w:rsidR="005B353D" w:rsidP="005B353D" w:rsidRDefault="005B353D" w14:paraId="2ECC3278" w14:textId="77777777">
      <w:pPr>
        <w:pStyle w:val="Paragraphedeliste"/>
        <w:rPr>
          <w:rFonts w:cs="Arial"/>
          <w:b/>
          <w:bCs/>
          <w:szCs w:val="22"/>
        </w:rPr>
      </w:pPr>
    </w:p>
    <w:p w:rsidRPr="0087545F" w:rsidR="00BD4EB5" w:rsidP="05951DF1" w:rsidRDefault="00BD4EB5" w14:paraId="6AA85C44" w14:textId="3667F204">
      <w:pPr>
        <w:pStyle w:val="Paragraphedeliste"/>
        <w:numPr>
          <w:ilvl w:val="1"/>
          <w:numId w:val="16"/>
        </w:numPr>
        <w:spacing w:after="160" w:line="259" w:lineRule="auto"/>
        <w:jc w:val="left"/>
        <w:rPr>
          <w:rFonts w:cs="Arial"/>
        </w:rPr>
      </w:pPr>
      <w:r w:rsidRPr="05951DF1">
        <w:rPr>
          <w:rFonts w:cs="Arial"/>
        </w:rPr>
        <w:t>Être inscrit</w:t>
      </w:r>
      <w:r w:rsidRPr="05951DF1" w:rsidR="5FAF9A66">
        <w:rPr>
          <w:rFonts w:cs="Arial"/>
        </w:rPr>
        <w:t>/</w:t>
      </w:r>
      <w:r w:rsidRPr="05951DF1">
        <w:rPr>
          <w:rFonts w:cs="Arial"/>
        </w:rPr>
        <w:t>e en doctorat à l’Université PSL pour l’année 2025/2026</w:t>
      </w:r>
    </w:p>
    <w:p w:rsidRPr="0087545F" w:rsidR="00BD4EB5" w:rsidP="00BD4EB5" w:rsidRDefault="00BD4EB5" w14:paraId="57E89D6E" w14:textId="77777777">
      <w:pPr>
        <w:pStyle w:val="Paragraphedeliste"/>
        <w:numPr>
          <w:ilvl w:val="1"/>
          <w:numId w:val="16"/>
        </w:numPr>
        <w:spacing w:after="160" w:line="259" w:lineRule="auto"/>
        <w:jc w:val="left"/>
        <w:rPr>
          <w:rFonts w:cs="Arial"/>
          <w:szCs w:val="22"/>
        </w:rPr>
      </w:pPr>
      <w:r w:rsidRPr="0087545F">
        <w:rPr>
          <w:rFonts w:cs="Arial"/>
          <w:szCs w:val="22"/>
        </w:rPr>
        <w:t>Préparer sa thèse dans l’un des 11 établissements-composantes de PSL</w:t>
      </w:r>
    </w:p>
    <w:p w:rsidRPr="0087545F" w:rsidR="00BD4EB5" w:rsidP="00BD4EB5" w:rsidRDefault="00BD4EB5" w14:paraId="11EC610D" w14:textId="77777777">
      <w:pPr>
        <w:pStyle w:val="Paragraphedeliste"/>
        <w:numPr>
          <w:ilvl w:val="1"/>
          <w:numId w:val="16"/>
        </w:numPr>
        <w:spacing w:after="160" w:line="259" w:lineRule="auto"/>
        <w:jc w:val="left"/>
        <w:rPr>
          <w:rFonts w:cs="Arial"/>
          <w:szCs w:val="22"/>
        </w:rPr>
      </w:pPr>
      <w:r w:rsidRPr="0087545F">
        <w:rPr>
          <w:rFonts w:eastAsia="Aptos" w:cs="Arial"/>
          <w:szCs w:val="22"/>
        </w:rPr>
        <w:t>Effectuer une mobilité d’au moins 5 jours (jusqu’à 6 mois financés)</w:t>
      </w:r>
    </w:p>
    <w:p w:rsidRPr="0087545F" w:rsidR="00BD4EB5" w:rsidP="05951DF1" w:rsidRDefault="00BD4EB5" w14:paraId="3453EC44" w14:textId="366EE40B">
      <w:pPr>
        <w:pStyle w:val="Paragraphedeliste"/>
        <w:numPr>
          <w:ilvl w:val="1"/>
          <w:numId w:val="16"/>
        </w:numPr>
        <w:spacing w:after="160" w:line="259" w:lineRule="auto"/>
        <w:jc w:val="left"/>
        <w:rPr>
          <w:rFonts w:eastAsia="Aptos" w:cs="Arial"/>
        </w:rPr>
      </w:pPr>
      <w:r w:rsidRPr="05951DF1">
        <w:rPr>
          <w:rFonts w:eastAsia="Aptos" w:cs="Arial"/>
        </w:rPr>
        <w:t xml:space="preserve">La mobilité ne peut </w:t>
      </w:r>
      <w:r w:rsidRPr="05951DF1" w:rsidR="589C2CF1">
        <w:rPr>
          <w:rFonts w:eastAsia="Aptos" w:cs="Arial"/>
        </w:rPr>
        <w:t xml:space="preserve">pas </w:t>
      </w:r>
      <w:r w:rsidRPr="05951DF1">
        <w:rPr>
          <w:rFonts w:eastAsia="Aptos" w:cs="Arial"/>
        </w:rPr>
        <w:t>se dérouler dans les institutions ou agences spécialisées de l’Union européenne, ni dans les organisations gérant les programmes de l’UE</w:t>
      </w:r>
      <w:r w:rsidRPr="05951DF1" w:rsidR="446E38E7">
        <w:rPr>
          <w:rFonts w:eastAsia="Aptos" w:cs="Arial"/>
        </w:rPr>
        <w:t xml:space="preserve"> (Commission Européenne, Parlement Européen, Banque Centrale Européenne, </w:t>
      </w:r>
      <w:r w:rsidRPr="05951DF1" w:rsidR="43F0B37E">
        <w:rPr>
          <w:rFonts w:eastAsia="Aptos" w:cs="Arial"/>
        </w:rPr>
        <w:t xml:space="preserve">EACEA, </w:t>
      </w:r>
      <w:r w:rsidRPr="05951DF1" w:rsidR="061E642F">
        <w:rPr>
          <w:rFonts w:eastAsia="Aptos" w:cs="Arial"/>
        </w:rPr>
        <w:t>Frontex, etc.)</w:t>
      </w:r>
    </w:p>
    <w:p w:rsidRPr="0087545F" w:rsidR="00BD4EB5" w:rsidP="00BD4EB5" w:rsidRDefault="00BD4EB5" w14:paraId="129BBD8E" w14:textId="77777777">
      <w:pPr>
        <w:pStyle w:val="Paragraphedeliste"/>
        <w:numPr>
          <w:ilvl w:val="1"/>
          <w:numId w:val="16"/>
        </w:numPr>
        <w:spacing w:after="160" w:line="259" w:lineRule="auto"/>
        <w:jc w:val="left"/>
        <w:rPr>
          <w:rFonts w:cs="Arial"/>
          <w:szCs w:val="22"/>
        </w:rPr>
      </w:pPr>
      <w:r w:rsidRPr="0087545F">
        <w:rPr>
          <w:rFonts w:cs="Arial"/>
          <w:szCs w:val="22"/>
        </w:rPr>
        <w:t>Les conférences et colloques ne sont pas éligibles.</w:t>
      </w:r>
    </w:p>
    <w:p w:rsidRPr="0087545F" w:rsidR="00BD4EB5" w:rsidP="00BD4EB5" w:rsidRDefault="00BD4EB5" w14:paraId="7BC3A3AF" w14:textId="77777777">
      <w:pPr>
        <w:pStyle w:val="Paragraphedeliste"/>
        <w:spacing w:after="160" w:line="259" w:lineRule="auto"/>
        <w:ind w:left="1440"/>
        <w:jc w:val="left"/>
        <w:rPr>
          <w:rFonts w:cs="Arial"/>
          <w:szCs w:val="22"/>
        </w:rPr>
      </w:pPr>
    </w:p>
    <w:p w:rsidR="00BD4EB5" w:rsidP="05951DF1" w:rsidRDefault="00BD4EB5" w14:paraId="26153747" w14:textId="7253FE5F">
      <w:pPr>
        <w:pStyle w:val="Paragraphedeliste"/>
        <w:numPr>
          <w:ilvl w:val="0"/>
          <w:numId w:val="15"/>
        </w:numPr>
        <w:spacing w:after="160" w:line="259" w:lineRule="auto"/>
        <w:jc w:val="left"/>
        <w:rPr>
          <w:rFonts w:cs="Arial"/>
          <w:b/>
          <w:bCs/>
        </w:rPr>
      </w:pPr>
      <w:r w:rsidRPr="05951DF1">
        <w:rPr>
          <w:rFonts w:cs="Arial"/>
          <w:b/>
          <w:bCs/>
        </w:rPr>
        <w:t>Activités de mobilité éligibles</w:t>
      </w:r>
    </w:p>
    <w:p w:rsidR="00BD4EB5" w:rsidP="00BD4EB5" w:rsidRDefault="00BD4EB5" w14:paraId="03201C10" w14:textId="77777777">
      <w:pPr>
        <w:spacing w:after="160" w:line="259" w:lineRule="auto"/>
        <w:ind w:left="360"/>
        <w:jc w:val="left"/>
        <w:rPr>
          <w:rFonts w:cs="Arial"/>
          <w:b/>
          <w:bCs/>
          <w:szCs w:val="22"/>
        </w:rPr>
      </w:pPr>
      <w:r w:rsidRPr="0087545F">
        <w:rPr>
          <w:rFonts w:cs="Arial"/>
          <w:b/>
          <w:color w:val="0D0FB3"/>
          <w:szCs w:val="22"/>
        </w:rPr>
        <w:t xml:space="preserve">Mobilité longue </w:t>
      </w:r>
      <w:r w:rsidRPr="0087545F">
        <w:rPr>
          <w:rFonts w:cs="Arial"/>
          <w:b/>
          <w:bCs/>
          <w:color w:val="0D0FB3"/>
          <w:szCs w:val="22"/>
        </w:rPr>
        <w:t>(&gt; 2 mois)</w:t>
      </w:r>
    </w:p>
    <w:p w:rsidRPr="00910421" w:rsidR="00BD4EB5" w:rsidP="05951DF1" w:rsidRDefault="00BD4EB5" w14:paraId="01E13EC6" w14:textId="343AF256">
      <w:pPr>
        <w:numPr>
          <w:ilvl w:val="0"/>
          <w:numId w:val="17"/>
        </w:numPr>
        <w:rPr>
          <w:rFonts w:cs="Arial"/>
        </w:rPr>
      </w:pPr>
      <w:r w:rsidRPr="05951DF1">
        <w:rPr>
          <w:rFonts w:cs="Arial"/>
          <w:b/>
          <w:bCs/>
        </w:rPr>
        <w:t xml:space="preserve">Séjour </w:t>
      </w:r>
      <w:r w:rsidRPr="05951DF1" w:rsidR="52A445AF">
        <w:rPr>
          <w:rFonts w:cs="Arial"/>
          <w:b/>
          <w:bCs/>
        </w:rPr>
        <w:t>d’</w:t>
      </w:r>
      <w:r w:rsidRPr="05951DF1">
        <w:rPr>
          <w:rFonts w:cs="Arial"/>
          <w:b/>
          <w:bCs/>
        </w:rPr>
        <w:t xml:space="preserve">études </w:t>
      </w:r>
      <w:r w:rsidRPr="05951DF1">
        <w:rPr>
          <w:rFonts w:cs="Arial"/>
        </w:rPr>
        <w:t xml:space="preserve">dans un établissement de l’enseignement supérieur partenaire de votre établissement-composante </w:t>
      </w:r>
      <w:r w:rsidRPr="05951DF1" w:rsidR="05E00F35">
        <w:rPr>
          <w:rFonts w:cs="Arial"/>
        </w:rPr>
        <w:t>(</w:t>
      </w:r>
      <w:r w:rsidRPr="05951DF1" w:rsidR="07AA439D">
        <w:rPr>
          <w:rFonts w:cs="Arial"/>
        </w:rPr>
        <w:t xml:space="preserve">accord Erasmus </w:t>
      </w:r>
      <w:r w:rsidRPr="05951DF1" w:rsidR="41D33442">
        <w:rPr>
          <w:rFonts w:cs="Arial"/>
        </w:rPr>
        <w:t xml:space="preserve">obligatoire </w:t>
      </w:r>
      <w:r w:rsidRPr="05951DF1" w:rsidR="07AA439D">
        <w:rPr>
          <w:rFonts w:cs="Arial"/>
        </w:rPr>
        <w:t>av</w:t>
      </w:r>
      <w:r w:rsidRPr="05951DF1" w:rsidR="53A35B23">
        <w:rPr>
          <w:rFonts w:cs="Arial"/>
        </w:rPr>
        <w:t xml:space="preserve">ec l’établissement </w:t>
      </w:r>
      <w:r w:rsidRPr="05951DF1" w:rsidR="3901FDBA">
        <w:rPr>
          <w:rFonts w:cs="Arial"/>
        </w:rPr>
        <w:t>d'accueil</w:t>
      </w:r>
      <w:r w:rsidRPr="05951DF1" w:rsidR="354B1049">
        <w:rPr>
          <w:rFonts w:cs="Arial"/>
        </w:rPr>
        <w:t>, renseigne</w:t>
      </w:r>
      <w:r w:rsidRPr="05951DF1" w:rsidR="65E718AA">
        <w:rPr>
          <w:rFonts w:cs="Arial"/>
        </w:rPr>
        <w:t>z-vous directement</w:t>
      </w:r>
      <w:r w:rsidRPr="05951DF1" w:rsidR="354B1049">
        <w:rPr>
          <w:rFonts w:cs="Arial"/>
        </w:rPr>
        <w:t xml:space="preserve"> auprès du service des relations internationales de votre établissement</w:t>
      </w:r>
      <w:r w:rsidRPr="05951DF1">
        <w:rPr>
          <w:rFonts w:cs="Arial"/>
        </w:rPr>
        <w:t>)</w:t>
      </w:r>
      <w:r w:rsidRPr="05951DF1">
        <w:rPr>
          <w:rFonts w:cs="Arial"/>
          <w:b/>
          <w:bCs/>
        </w:rPr>
        <w:t>  </w:t>
      </w:r>
    </w:p>
    <w:p w:rsidRPr="0087545F" w:rsidR="00BD4EB5" w:rsidP="05951DF1" w:rsidRDefault="00BD4EB5" w14:paraId="3931E4CF" w14:textId="372A5890">
      <w:pPr>
        <w:numPr>
          <w:ilvl w:val="0"/>
          <w:numId w:val="17"/>
        </w:numPr>
        <w:rPr>
          <w:rFonts w:cs="Arial"/>
        </w:rPr>
      </w:pPr>
      <w:r w:rsidRPr="05951DF1">
        <w:rPr>
          <w:rFonts w:cs="Arial"/>
          <w:b/>
          <w:bCs/>
        </w:rPr>
        <w:t xml:space="preserve">Stage </w:t>
      </w:r>
      <w:r w:rsidRPr="05951DF1">
        <w:rPr>
          <w:rFonts w:cs="Arial"/>
        </w:rPr>
        <w:t>dans un laboratoire de recherche, une entreprise, une start</w:t>
      </w:r>
      <w:r w:rsidRPr="05951DF1" w:rsidR="5840ABCB">
        <w:rPr>
          <w:rFonts w:cs="Arial"/>
        </w:rPr>
        <w:t>-</w:t>
      </w:r>
      <w:r w:rsidRPr="05951DF1">
        <w:rPr>
          <w:rFonts w:cs="Arial"/>
        </w:rPr>
        <w:t>up</w:t>
      </w:r>
      <w:r w:rsidRPr="05951DF1" w:rsidR="3E3F6E1D">
        <w:rPr>
          <w:rFonts w:cs="Arial"/>
        </w:rPr>
        <w:t xml:space="preserve"> ou </w:t>
      </w:r>
      <w:r w:rsidRPr="05951DF1">
        <w:rPr>
          <w:rFonts w:cs="Arial"/>
        </w:rPr>
        <w:t>une ONG. </w:t>
      </w:r>
    </w:p>
    <w:p w:rsidRPr="00CF0928" w:rsidR="00BD4EB5" w:rsidP="00BD4EB5" w:rsidRDefault="00BD4EB5" w14:paraId="4A23B07C" w14:textId="77777777">
      <w:pPr>
        <w:ind w:left="360"/>
        <w:rPr>
          <w:rFonts w:cs="Arial"/>
          <w:color w:val="0D0FB3"/>
          <w:szCs w:val="22"/>
        </w:rPr>
      </w:pPr>
    </w:p>
    <w:p w:rsidR="00BD4EB5" w:rsidP="00BD4EB5" w:rsidRDefault="00BD4EB5" w14:paraId="56366EB2" w14:textId="77777777">
      <w:pPr>
        <w:ind w:firstLine="360"/>
        <w:rPr>
          <w:rFonts w:cs="Arial"/>
          <w:color w:val="0D0FB3"/>
          <w:szCs w:val="22"/>
        </w:rPr>
      </w:pPr>
      <w:r w:rsidRPr="00CF0928">
        <w:rPr>
          <w:rFonts w:cs="Arial"/>
          <w:b/>
          <w:bCs/>
          <w:color w:val="0D0FB3"/>
          <w:szCs w:val="22"/>
        </w:rPr>
        <w:t>Mobilité courte (&lt; 2 mois)</w:t>
      </w:r>
      <w:r w:rsidRPr="00CF0928">
        <w:rPr>
          <w:rFonts w:cs="Arial"/>
          <w:color w:val="0D0FB3"/>
          <w:szCs w:val="22"/>
        </w:rPr>
        <w:t> </w:t>
      </w:r>
    </w:p>
    <w:p w:rsidR="00BD4EB5" w:rsidP="00BD4EB5" w:rsidRDefault="00BD4EB5" w14:paraId="014180DA" w14:textId="77777777">
      <w:pPr>
        <w:ind w:firstLine="360"/>
        <w:rPr>
          <w:rFonts w:cs="Arial"/>
          <w:color w:val="0D0FB3"/>
          <w:szCs w:val="22"/>
        </w:rPr>
      </w:pPr>
    </w:p>
    <w:p w:rsidRPr="001A09DC" w:rsidR="00BD4EB5" w:rsidP="00BD4EB5" w:rsidRDefault="00BD4EB5" w14:paraId="48F8EB09" w14:textId="77777777">
      <w:pPr>
        <w:numPr>
          <w:ilvl w:val="0"/>
          <w:numId w:val="32"/>
        </w:numPr>
        <w:rPr>
          <w:rFonts w:cs="Arial"/>
          <w:szCs w:val="22"/>
        </w:rPr>
      </w:pPr>
      <w:r w:rsidRPr="001A09DC">
        <w:rPr>
          <w:rFonts w:cs="Arial"/>
          <w:b/>
          <w:bCs/>
          <w:szCs w:val="22"/>
        </w:rPr>
        <w:t>Etudes ou stage</w:t>
      </w:r>
      <w:r w:rsidRPr="001A09DC">
        <w:rPr>
          <w:rFonts w:cs="Arial"/>
          <w:szCs w:val="22"/>
        </w:rPr>
        <w:t> (5 à 30 jours) </w:t>
      </w:r>
    </w:p>
    <w:p w:rsidRPr="001A09DC" w:rsidR="00BD4EB5" w:rsidP="05951DF1" w:rsidRDefault="00BD4EB5" w14:paraId="105D88D2" w14:textId="1BC7E6ED">
      <w:pPr>
        <w:numPr>
          <w:ilvl w:val="0"/>
          <w:numId w:val="33"/>
        </w:numPr>
        <w:rPr>
          <w:rFonts w:cs="Arial"/>
        </w:rPr>
      </w:pPr>
      <w:r w:rsidRPr="05951DF1">
        <w:rPr>
          <w:rFonts w:cs="Arial"/>
          <w:b/>
          <w:bCs/>
        </w:rPr>
        <w:t>Mobilité de personnel</w:t>
      </w:r>
      <w:r w:rsidRPr="05951DF1">
        <w:rPr>
          <w:rFonts w:cs="Arial"/>
        </w:rPr>
        <w:t xml:space="preserve"> (</w:t>
      </w:r>
      <w:r w:rsidRPr="05951DF1" w:rsidR="0E3BF292">
        <w:rPr>
          <w:rFonts w:cs="Arial"/>
        </w:rPr>
        <w:t xml:space="preserve">réservée aux </w:t>
      </w:r>
      <w:r w:rsidRPr="05951DF1">
        <w:rPr>
          <w:rFonts w:cs="Arial"/>
          <w:u w:val="single"/>
        </w:rPr>
        <w:t>doctorants sous contrat</w:t>
      </w:r>
      <w:r w:rsidRPr="05951DF1" w:rsidR="61042D4F">
        <w:rPr>
          <w:rFonts w:cs="Arial"/>
          <w:u w:val="single"/>
        </w:rPr>
        <w:t xml:space="preserve"> doctoral</w:t>
      </w:r>
      <w:r w:rsidRPr="05951DF1">
        <w:rPr>
          <w:rFonts w:cs="Arial"/>
          <w:u w:val="single"/>
        </w:rPr>
        <w:t xml:space="preserve"> avec PSL</w:t>
      </w:r>
      <w:r w:rsidRPr="05951DF1">
        <w:rPr>
          <w:rFonts w:cs="Arial"/>
        </w:rPr>
        <w:t xml:space="preserve">) </w:t>
      </w:r>
      <w:r>
        <w:tab/>
      </w:r>
      <w:r w:rsidRPr="05951DF1">
        <w:rPr>
          <w:rFonts w:cs="Arial"/>
        </w:rPr>
        <w:t> </w:t>
      </w:r>
    </w:p>
    <w:p w:rsidRPr="001A09DC" w:rsidR="00BD4EB5" w:rsidP="05951DF1" w:rsidRDefault="00BD4EB5" w14:paraId="6F56A957" w14:textId="4C8503F4">
      <w:pPr>
        <w:numPr>
          <w:ilvl w:val="0"/>
          <w:numId w:val="34"/>
        </w:numPr>
        <w:tabs>
          <w:tab w:val="num" w:pos="720"/>
        </w:tabs>
        <w:rPr>
          <w:rFonts w:cs="Arial"/>
        </w:rPr>
      </w:pPr>
      <w:r w:rsidRPr="05951DF1">
        <w:rPr>
          <w:rFonts w:cs="Arial"/>
          <w:b/>
          <w:bCs/>
          <w:i/>
          <w:iCs/>
        </w:rPr>
        <w:t xml:space="preserve">Formation </w:t>
      </w:r>
      <w:r w:rsidRPr="05951DF1">
        <w:rPr>
          <w:rFonts w:cs="Arial"/>
        </w:rPr>
        <w:t>(5 jours à</w:t>
      </w:r>
      <w:r w:rsidR="0027715E">
        <w:rPr>
          <w:rFonts w:cs="Arial"/>
        </w:rPr>
        <w:t xml:space="preserve"> 3 semaines</w:t>
      </w:r>
      <w:r w:rsidRPr="05951DF1">
        <w:rPr>
          <w:rFonts w:cs="Arial"/>
        </w:rPr>
        <w:t xml:space="preserve">) : stages d’observation dans un laboratoire, participation à des </w:t>
      </w:r>
      <w:r w:rsidRPr="05951DF1">
        <w:rPr>
          <w:rFonts w:cs="Arial"/>
          <w:i/>
          <w:iCs/>
        </w:rPr>
        <w:t xml:space="preserve">Staff </w:t>
      </w:r>
      <w:proofErr w:type="spellStart"/>
      <w:r w:rsidRPr="05951DF1">
        <w:rPr>
          <w:rFonts w:cs="Arial"/>
          <w:i/>
          <w:iCs/>
        </w:rPr>
        <w:t>Weeks</w:t>
      </w:r>
      <w:proofErr w:type="spellEnd"/>
      <w:r w:rsidRPr="05951DF1">
        <w:rPr>
          <w:rFonts w:cs="Arial"/>
        </w:rPr>
        <w:t xml:space="preserve"> (catalogue européen : </w:t>
      </w:r>
      <w:hyperlink r:id="rId11">
        <w:r w:rsidRPr="05951DF1">
          <w:rPr>
            <w:rStyle w:val="Lienhypertexte"/>
            <w:rFonts w:cs="Arial"/>
          </w:rPr>
          <w:t>http://staffmobility.eu/staff-week-search</w:t>
        </w:r>
      </w:hyperlink>
      <w:r w:rsidRPr="05951DF1">
        <w:rPr>
          <w:rFonts w:cs="Arial"/>
        </w:rPr>
        <w:t>), formation</w:t>
      </w:r>
      <w:r w:rsidRPr="05951DF1" w:rsidR="000976F2">
        <w:rPr>
          <w:rFonts w:cs="Arial"/>
        </w:rPr>
        <w:t>s</w:t>
      </w:r>
      <w:r w:rsidRPr="05951DF1">
        <w:rPr>
          <w:rFonts w:cs="Arial"/>
        </w:rPr>
        <w:t xml:space="preserve"> en langues, gestion de projet, etc. </w:t>
      </w:r>
    </w:p>
    <w:p w:rsidRPr="001A09DC" w:rsidR="00BD4EB5" w:rsidP="05951DF1" w:rsidRDefault="00BD4EB5" w14:paraId="6AAB72A0" w14:textId="501CBE08">
      <w:pPr>
        <w:numPr>
          <w:ilvl w:val="0"/>
          <w:numId w:val="35"/>
        </w:numPr>
        <w:rPr>
          <w:rFonts w:cs="Arial"/>
        </w:rPr>
      </w:pPr>
      <w:r w:rsidRPr="05951DF1">
        <w:rPr>
          <w:rFonts w:cs="Arial"/>
          <w:b/>
          <w:bCs/>
          <w:i/>
          <w:iCs/>
        </w:rPr>
        <w:t xml:space="preserve">Enseignement </w:t>
      </w:r>
      <w:r w:rsidRPr="00533946" w:rsidR="00533946">
        <w:rPr>
          <w:rFonts w:cs="Arial"/>
        </w:rPr>
        <w:t>(5 jours à 3 semaines</w:t>
      </w:r>
      <w:r w:rsidR="00533946">
        <w:rPr>
          <w:rFonts w:cs="Arial"/>
          <w:b/>
          <w:bCs/>
          <w:i/>
          <w:iCs/>
        </w:rPr>
        <w:t xml:space="preserve">) </w:t>
      </w:r>
      <w:r w:rsidRPr="05951DF1">
        <w:rPr>
          <w:rFonts w:cs="Arial"/>
        </w:rPr>
        <w:t>dans un établissement de l’enseignement supérieur partenaire (</w:t>
      </w:r>
      <w:r w:rsidRPr="05951DF1" w:rsidR="5A37CDBB">
        <w:rPr>
          <w:rFonts w:cs="Arial"/>
        </w:rPr>
        <w:t xml:space="preserve">un accord Erasmus avec l’établissement étranger </w:t>
      </w:r>
      <w:r w:rsidRPr="05951DF1" w:rsidR="4DA21A41">
        <w:rPr>
          <w:rFonts w:cs="Arial"/>
        </w:rPr>
        <w:t>obligatoire</w:t>
      </w:r>
      <w:r w:rsidRPr="05951DF1">
        <w:rPr>
          <w:rFonts w:cs="Arial"/>
        </w:rPr>
        <w:t>, 8 heures d’enseignement par semaine) </w:t>
      </w:r>
    </w:p>
    <w:p w:rsidRPr="0087545F" w:rsidR="00BD4EB5" w:rsidP="00BD4EB5" w:rsidRDefault="00BD4EB5" w14:paraId="4E59666D" w14:textId="30CC20B3">
      <w:pPr>
        <w:rPr>
          <w:rFonts w:cs="Arial"/>
          <w:szCs w:val="22"/>
        </w:rPr>
      </w:pPr>
      <w:r w:rsidRPr="05951DF1">
        <w:rPr>
          <w:rFonts w:cs="Arial"/>
        </w:rPr>
        <w:t> </w:t>
      </w:r>
    </w:p>
    <w:p w:rsidR="5C6E8E07" w:rsidP="05951DF1" w:rsidRDefault="5C6E8E07" w14:paraId="43F661BA" w14:textId="08C9FC68">
      <w:pPr>
        <w:rPr>
          <w:rFonts w:eastAsia="Arial" w:cs="Arial"/>
          <w:i/>
          <w:iCs/>
          <w:szCs w:val="22"/>
        </w:rPr>
      </w:pPr>
      <w:r w:rsidRPr="05951DF1">
        <w:rPr>
          <w:rFonts w:eastAsia="Arial" w:cs="Arial"/>
          <w:i/>
          <w:iCs/>
          <w:szCs w:val="22"/>
        </w:rPr>
        <w:t xml:space="preserve">NB : </w:t>
      </w:r>
      <w:r w:rsidRPr="05951DF1" w:rsidR="7DF6FF9A">
        <w:rPr>
          <w:rFonts w:eastAsia="Arial" w:cs="Arial"/>
          <w:i/>
          <w:iCs/>
          <w:szCs w:val="22"/>
        </w:rPr>
        <w:t xml:space="preserve">Il s’agit de tous les types de mobilité possibles dans le cadre du programme Erasmus+. </w:t>
      </w:r>
      <w:r w:rsidRPr="05951DF1">
        <w:rPr>
          <w:rFonts w:eastAsia="Arial" w:cs="Arial"/>
          <w:i/>
          <w:iCs/>
          <w:szCs w:val="22"/>
        </w:rPr>
        <w:t>Vérifiez auprès de votre établissement-composante les mobilités spécifiques éligibles.</w:t>
      </w:r>
    </w:p>
    <w:p w:rsidR="05951DF1" w:rsidP="05951DF1" w:rsidRDefault="05951DF1" w14:paraId="10399801" w14:textId="1FA3EF6D">
      <w:pPr>
        <w:rPr>
          <w:rFonts w:cs="Arial"/>
        </w:rPr>
      </w:pPr>
    </w:p>
    <w:p w:rsidR="00BD4EB5" w:rsidP="00BD4EB5" w:rsidRDefault="00BD4EB5" w14:paraId="56BB3891" w14:textId="77777777">
      <w:pPr>
        <w:numPr>
          <w:ilvl w:val="0"/>
          <w:numId w:val="18"/>
        </w:numPr>
        <w:rPr>
          <w:rFonts w:cs="Arial"/>
          <w:szCs w:val="22"/>
        </w:rPr>
      </w:pPr>
      <w:r w:rsidRPr="00CF0928">
        <w:rPr>
          <w:rFonts w:cs="Arial"/>
          <w:b/>
          <w:bCs/>
          <w:szCs w:val="22"/>
        </w:rPr>
        <w:t>Durée et période de mobilité </w:t>
      </w:r>
      <w:r w:rsidRPr="00CF0928">
        <w:rPr>
          <w:rFonts w:cs="Arial"/>
          <w:szCs w:val="22"/>
        </w:rPr>
        <w:t> </w:t>
      </w:r>
    </w:p>
    <w:p w:rsidRPr="00CF0928" w:rsidR="000976F2" w:rsidP="000976F2" w:rsidRDefault="000976F2" w14:paraId="2E545976" w14:textId="77777777">
      <w:pPr>
        <w:ind w:left="720"/>
        <w:rPr>
          <w:rFonts w:cs="Arial"/>
          <w:szCs w:val="22"/>
        </w:rPr>
      </w:pPr>
    </w:p>
    <w:p w:rsidRPr="00CF0928" w:rsidR="00BD4EB5" w:rsidP="05951DF1" w:rsidRDefault="00BD4EB5" w14:paraId="6775EBC3" w14:textId="7D41E115">
      <w:pPr>
        <w:rPr>
          <w:rFonts w:cs="Arial"/>
        </w:rPr>
      </w:pPr>
      <w:r w:rsidRPr="05951DF1">
        <w:rPr>
          <w:rFonts w:cs="Arial"/>
        </w:rPr>
        <w:t xml:space="preserve">Pour être éligible, la mobilité doit être de </w:t>
      </w:r>
      <w:r w:rsidRPr="05951DF1">
        <w:rPr>
          <w:rFonts w:cs="Arial"/>
          <w:b/>
          <w:bCs/>
        </w:rPr>
        <w:t>5 jours minimum</w:t>
      </w:r>
      <w:r w:rsidRPr="05951DF1">
        <w:rPr>
          <w:rFonts w:cs="Arial"/>
        </w:rPr>
        <w:t xml:space="preserve"> et dans la limite de </w:t>
      </w:r>
      <w:r w:rsidRPr="05951DF1">
        <w:rPr>
          <w:rFonts w:cs="Arial"/>
          <w:b/>
          <w:bCs/>
        </w:rPr>
        <w:t>6 mois de financement</w:t>
      </w:r>
      <w:r w:rsidRPr="05951DF1">
        <w:rPr>
          <w:rFonts w:cs="Arial"/>
        </w:rPr>
        <w:t xml:space="preserve"> </w:t>
      </w:r>
      <w:r w:rsidRPr="05951DF1" w:rsidR="13D97774">
        <w:rPr>
          <w:rFonts w:cs="Arial"/>
        </w:rPr>
        <w:t xml:space="preserve">pour les mobilités longues d’études et de stage </w:t>
      </w:r>
      <w:r w:rsidRPr="05951DF1" w:rsidR="4C8E348E">
        <w:rPr>
          <w:rFonts w:cs="Arial"/>
        </w:rPr>
        <w:t>(séjour possible au-delà mais</w:t>
      </w:r>
      <w:r w:rsidRPr="05951DF1">
        <w:rPr>
          <w:rFonts w:cs="Arial"/>
        </w:rPr>
        <w:t xml:space="preserve"> sans financement </w:t>
      </w:r>
      <w:r w:rsidRPr="05951DF1" w:rsidR="191CEE9D">
        <w:rPr>
          <w:rFonts w:cs="Arial"/>
        </w:rPr>
        <w:t>supplémentaire).</w:t>
      </w:r>
    </w:p>
    <w:p w:rsidRPr="00CF0928" w:rsidR="00BD4EB5" w:rsidP="00BD4EB5" w:rsidRDefault="00BD4EB5" w14:paraId="5CC4919B" w14:textId="77777777">
      <w:pPr>
        <w:rPr>
          <w:rFonts w:cs="Arial"/>
          <w:szCs w:val="22"/>
        </w:rPr>
      </w:pPr>
    </w:p>
    <w:p w:rsidR="00BD4EB5" w:rsidP="00BD4EB5" w:rsidRDefault="00BD4EB5" w14:paraId="7C12D826" w14:textId="77777777">
      <w:pPr>
        <w:numPr>
          <w:ilvl w:val="0"/>
          <w:numId w:val="19"/>
        </w:numPr>
        <w:rPr>
          <w:rFonts w:cs="Arial"/>
          <w:szCs w:val="22"/>
        </w:rPr>
      </w:pPr>
      <w:r w:rsidRPr="00CF0928">
        <w:rPr>
          <w:rFonts w:cs="Arial"/>
          <w:b/>
          <w:bCs/>
          <w:szCs w:val="22"/>
        </w:rPr>
        <w:t xml:space="preserve">Modalités de candidature </w:t>
      </w:r>
      <w:r w:rsidRPr="00CF0928">
        <w:rPr>
          <w:rFonts w:cs="Arial"/>
          <w:szCs w:val="22"/>
        </w:rPr>
        <w:t> </w:t>
      </w:r>
    </w:p>
    <w:p w:rsidRPr="00CF0928" w:rsidR="000976F2" w:rsidP="000976F2" w:rsidRDefault="000976F2" w14:paraId="09D160C4" w14:textId="77777777">
      <w:pPr>
        <w:ind w:left="720"/>
        <w:rPr>
          <w:rFonts w:cs="Arial"/>
          <w:szCs w:val="22"/>
        </w:rPr>
      </w:pPr>
    </w:p>
    <w:p w:rsidRPr="00CF0928" w:rsidR="00BD4EB5" w:rsidP="05951DF1" w:rsidRDefault="00BD4EB5" w14:paraId="79FB18C5" w14:textId="55599F32">
      <w:pPr>
        <w:pStyle w:val="Paragraphedeliste"/>
        <w:numPr>
          <w:ilvl w:val="0"/>
          <w:numId w:val="1"/>
        </w:numPr>
        <w:rPr>
          <w:rFonts w:cs="Arial"/>
          <w:szCs w:val="22"/>
        </w:rPr>
      </w:pPr>
      <w:r w:rsidRPr="05951DF1">
        <w:rPr>
          <w:rFonts w:cs="Arial"/>
        </w:rPr>
        <w:t>Compléter le formulaire de candidatur</w:t>
      </w:r>
      <w:r w:rsidRPr="05951DF1" w:rsidR="041046DA">
        <w:rPr>
          <w:rFonts w:cs="Arial"/>
        </w:rPr>
        <w:t>e (</w:t>
      </w:r>
      <w:r w:rsidRPr="05951DF1">
        <w:rPr>
          <w:rFonts w:cs="Arial"/>
        </w:rPr>
        <w:t xml:space="preserve">téléchargeable sur la page </w:t>
      </w:r>
      <w:r w:rsidRPr="05951DF1" w:rsidR="0E26E497">
        <w:rPr>
          <w:rFonts w:cs="Arial"/>
        </w:rPr>
        <w:t>“</w:t>
      </w:r>
      <w:r w:rsidRPr="05951DF1">
        <w:rPr>
          <w:rFonts w:cs="Arial"/>
        </w:rPr>
        <w:t>Mobilité doctorale</w:t>
      </w:r>
      <w:r w:rsidRPr="05951DF1" w:rsidR="1EBC01A5">
        <w:rPr>
          <w:rFonts w:cs="Arial"/>
        </w:rPr>
        <w:t>”</w:t>
      </w:r>
      <w:r w:rsidRPr="05951DF1">
        <w:rPr>
          <w:rFonts w:cs="Arial"/>
        </w:rPr>
        <w:t xml:space="preserve"> de PSL</w:t>
      </w:r>
      <w:r w:rsidRPr="05951DF1" w:rsidR="4CA63C04">
        <w:rPr>
          <w:rFonts w:cs="Arial"/>
        </w:rPr>
        <w:t>)</w:t>
      </w:r>
      <w:r w:rsidRPr="05951DF1">
        <w:rPr>
          <w:rFonts w:cs="Arial"/>
        </w:rPr>
        <w:t>.  </w:t>
      </w:r>
    </w:p>
    <w:p w:rsidRPr="00CF0928" w:rsidR="00BD4EB5" w:rsidP="05951DF1" w:rsidRDefault="59298D88" w14:paraId="30F23E38" w14:textId="4BE61849">
      <w:pPr>
        <w:pStyle w:val="Paragraphedeliste"/>
        <w:numPr>
          <w:ilvl w:val="0"/>
          <w:numId w:val="1"/>
        </w:numPr>
        <w:rPr>
          <w:rFonts w:cs="Arial"/>
          <w:szCs w:val="22"/>
        </w:rPr>
      </w:pPr>
      <w:r w:rsidRPr="05951DF1">
        <w:rPr>
          <w:rFonts w:cs="Arial"/>
        </w:rPr>
        <w:t>Déposez</w:t>
      </w:r>
      <w:r w:rsidRPr="05951DF1" w:rsidR="00BD4EB5">
        <w:rPr>
          <w:rFonts w:cs="Arial"/>
        </w:rPr>
        <w:t xml:space="preserve"> votre dossier complet au Service des Relations Internationales de votre établissement (ou le </w:t>
      </w:r>
      <w:r w:rsidRPr="05951DF1" w:rsidR="3ED1EA0A">
        <w:rPr>
          <w:rFonts w:cs="Arial"/>
        </w:rPr>
        <w:t>S</w:t>
      </w:r>
      <w:r w:rsidRPr="05951DF1" w:rsidR="00BD4EB5">
        <w:rPr>
          <w:rFonts w:cs="Arial"/>
        </w:rPr>
        <w:t xml:space="preserve">ervice </w:t>
      </w:r>
      <w:r w:rsidRPr="05951DF1" w:rsidR="3EC09EBE">
        <w:rPr>
          <w:rFonts w:cs="Arial"/>
        </w:rPr>
        <w:t>R</w:t>
      </w:r>
      <w:r w:rsidRPr="05951DF1" w:rsidR="00BD4EB5">
        <w:rPr>
          <w:rFonts w:cs="Arial"/>
        </w:rPr>
        <w:t>echerche à Dauphine).  </w:t>
      </w:r>
    </w:p>
    <w:p w:rsidR="00BD4EB5" w:rsidP="05951DF1" w:rsidRDefault="00BD4EB5" w14:paraId="62C2753D" w14:textId="22A1F666">
      <w:pPr>
        <w:pStyle w:val="Paragraphedeliste"/>
        <w:numPr>
          <w:ilvl w:val="0"/>
          <w:numId w:val="1"/>
        </w:numPr>
        <w:rPr>
          <w:rFonts w:cs="Arial"/>
          <w:szCs w:val="22"/>
        </w:rPr>
      </w:pPr>
      <w:r w:rsidRPr="05951DF1">
        <w:rPr>
          <w:rFonts w:cs="Arial"/>
        </w:rPr>
        <w:t>Un jury composé des Services des Relations Internationales</w:t>
      </w:r>
      <w:r w:rsidRPr="05951DF1" w:rsidR="53F57531">
        <w:rPr>
          <w:rFonts w:cs="Arial"/>
        </w:rPr>
        <w:t xml:space="preserve">, </w:t>
      </w:r>
      <w:r w:rsidRPr="05951DF1" w:rsidR="75258602">
        <w:rPr>
          <w:rFonts w:cs="Arial"/>
        </w:rPr>
        <w:t xml:space="preserve">de la </w:t>
      </w:r>
      <w:r w:rsidRPr="05951DF1">
        <w:rPr>
          <w:rFonts w:cs="Arial"/>
        </w:rPr>
        <w:t>Recherche</w:t>
      </w:r>
      <w:r w:rsidRPr="05951DF1" w:rsidR="02130DC1">
        <w:rPr>
          <w:rFonts w:cs="Arial"/>
        </w:rPr>
        <w:t xml:space="preserve"> et</w:t>
      </w:r>
      <w:r w:rsidRPr="05951DF1">
        <w:rPr>
          <w:rFonts w:cs="Arial"/>
        </w:rPr>
        <w:t xml:space="preserve"> </w:t>
      </w:r>
      <w:r w:rsidRPr="05951DF1" w:rsidR="7929A705">
        <w:rPr>
          <w:rFonts w:cs="Arial"/>
        </w:rPr>
        <w:t xml:space="preserve">des </w:t>
      </w:r>
      <w:r w:rsidRPr="05951DF1">
        <w:rPr>
          <w:rFonts w:cs="Arial"/>
        </w:rPr>
        <w:t>responsables des programmes gradués sélectionnera les candidatures</w:t>
      </w:r>
      <w:r w:rsidRPr="05951DF1" w:rsidR="6718A065">
        <w:rPr>
          <w:rFonts w:cs="Arial"/>
        </w:rPr>
        <w:t>.</w:t>
      </w:r>
    </w:p>
    <w:p w:rsidR="00BD4EB5" w:rsidP="05951DF1" w:rsidRDefault="6718A065" w14:paraId="3EDD5239" w14:textId="72476C15">
      <w:pPr>
        <w:pStyle w:val="Paragraphedeliste"/>
        <w:numPr>
          <w:ilvl w:val="0"/>
          <w:numId w:val="1"/>
        </w:numPr>
        <w:rPr>
          <w:rFonts w:cs="Arial"/>
          <w:szCs w:val="22"/>
        </w:rPr>
      </w:pPr>
      <w:r w:rsidRPr="05951DF1">
        <w:rPr>
          <w:rFonts w:cs="Arial"/>
        </w:rPr>
        <w:t>No</w:t>
      </w:r>
      <w:r w:rsidRPr="05951DF1" w:rsidR="00BD4EB5">
        <w:rPr>
          <w:rFonts w:cs="Arial"/>
        </w:rPr>
        <w:t>tifi</w:t>
      </w:r>
      <w:r w:rsidRPr="05951DF1" w:rsidR="2FF1C72A">
        <w:rPr>
          <w:rFonts w:cs="Arial"/>
        </w:rPr>
        <w:t>cation des</w:t>
      </w:r>
      <w:r w:rsidRPr="05951DF1" w:rsidR="00BD4EB5">
        <w:rPr>
          <w:rFonts w:cs="Arial"/>
        </w:rPr>
        <w:t xml:space="preserve"> bénéficiaires en décembre. </w:t>
      </w:r>
    </w:p>
    <w:p w:rsidR="00BD4EB5" w:rsidP="05951DF1" w:rsidRDefault="00BD4EB5" w14:paraId="4B245BF2" w14:textId="37E00D70">
      <w:pPr>
        <w:pStyle w:val="Paragraphedeliste"/>
        <w:numPr>
          <w:ilvl w:val="0"/>
          <w:numId w:val="1"/>
        </w:numPr>
        <w:rPr>
          <w:rFonts w:cs="Arial"/>
          <w:szCs w:val="22"/>
        </w:rPr>
      </w:pPr>
      <w:r w:rsidRPr="05951DF1">
        <w:rPr>
          <w:rFonts w:cs="Arial"/>
        </w:rPr>
        <w:t xml:space="preserve">Un dossier Erasmus+ à compléter vous sera remis. Une fois complet, </w:t>
      </w:r>
      <w:r w:rsidRPr="05951DF1" w:rsidR="3C542759">
        <w:rPr>
          <w:rFonts w:cs="Arial"/>
        </w:rPr>
        <w:t>il</w:t>
      </w:r>
      <w:r w:rsidRPr="05951DF1">
        <w:rPr>
          <w:rFonts w:cs="Arial"/>
        </w:rPr>
        <w:t xml:space="preserve"> sera transmis à la Direction des relations internationales de PSL </w:t>
      </w:r>
      <w:r w:rsidRPr="05951DF1" w:rsidR="3D442E9B">
        <w:rPr>
          <w:rFonts w:cs="Arial"/>
        </w:rPr>
        <w:t>pour le versement la bo</w:t>
      </w:r>
      <w:r w:rsidRPr="05951DF1">
        <w:rPr>
          <w:rFonts w:cs="Arial"/>
        </w:rPr>
        <w:t>urse. </w:t>
      </w:r>
    </w:p>
    <w:p w:rsidRPr="00CF0928" w:rsidR="000976F2" w:rsidP="00BD4EB5" w:rsidRDefault="000976F2" w14:paraId="22D57E13" w14:textId="77777777">
      <w:pPr>
        <w:rPr>
          <w:rFonts w:cs="Arial"/>
          <w:szCs w:val="22"/>
        </w:rPr>
      </w:pPr>
    </w:p>
    <w:p w:rsidR="00BD4EB5" w:rsidP="00BD4EB5" w:rsidRDefault="00BD4EB5" w14:paraId="4CE83931" w14:textId="77777777">
      <w:pPr>
        <w:numPr>
          <w:ilvl w:val="0"/>
          <w:numId w:val="20"/>
        </w:numPr>
        <w:rPr>
          <w:rFonts w:cs="Arial"/>
          <w:szCs w:val="22"/>
        </w:rPr>
      </w:pPr>
      <w:r w:rsidRPr="00CF0928">
        <w:rPr>
          <w:rFonts w:cs="Arial"/>
          <w:b/>
          <w:bCs/>
          <w:szCs w:val="22"/>
        </w:rPr>
        <w:t>Nature de l’aide </w:t>
      </w:r>
      <w:r w:rsidRPr="00CF0928">
        <w:rPr>
          <w:rFonts w:cs="Arial"/>
          <w:szCs w:val="22"/>
        </w:rPr>
        <w:t> </w:t>
      </w:r>
    </w:p>
    <w:p w:rsidRPr="00CF0928" w:rsidR="000976F2" w:rsidP="000976F2" w:rsidRDefault="000976F2" w14:paraId="7B5E33E1" w14:textId="77777777">
      <w:pPr>
        <w:ind w:left="720"/>
        <w:rPr>
          <w:rFonts w:cs="Arial"/>
          <w:szCs w:val="22"/>
        </w:rPr>
      </w:pPr>
    </w:p>
    <w:p w:rsidRPr="0087545F" w:rsidR="00BD4EB5" w:rsidP="00BD4EB5" w:rsidRDefault="00BD4EB5" w14:paraId="03E6E452" w14:textId="77777777">
      <w:pPr>
        <w:rPr>
          <w:rFonts w:cs="Arial"/>
          <w:szCs w:val="22"/>
        </w:rPr>
      </w:pPr>
      <w:r w:rsidRPr="00CF0928">
        <w:rPr>
          <w:rFonts w:cs="Arial"/>
          <w:szCs w:val="22"/>
        </w:rPr>
        <w:t xml:space="preserve">La bourse Erasmus+ est une </w:t>
      </w:r>
      <w:r w:rsidRPr="00CF0928">
        <w:rPr>
          <w:rFonts w:cs="Arial"/>
          <w:b/>
          <w:bCs/>
          <w:szCs w:val="22"/>
          <w:u w:val="single"/>
        </w:rPr>
        <w:t>contribution partielle</w:t>
      </w:r>
      <w:r w:rsidRPr="00CF0928">
        <w:rPr>
          <w:rFonts w:cs="Arial"/>
          <w:szCs w:val="22"/>
        </w:rPr>
        <w:t xml:space="preserve"> aux frais liés à la mobilité :  </w:t>
      </w:r>
    </w:p>
    <w:p w:rsidRPr="00CF0928" w:rsidR="00BD4EB5" w:rsidP="00BD4EB5" w:rsidRDefault="00BD4EB5" w14:paraId="4BD1D742" w14:textId="77777777">
      <w:pPr>
        <w:rPr>
          <w:rFonts w:cs="Arial"/>
          <w:szCs w:val="22"/>
        </w:rPr>
      </w:pPr>
    </w:p>
    <w:p w:rsidRPr="00CF0928" w:rsidR="00BD4EB5" w:rsidP="00BD4EB5" w:rsidRDefault="00BD4EB5" w14:paraId="4C3BE507" w14:textId="77777777">
      <w:pPr>
        <w:numPr>
          <w:ilvl w:val="0"/>
          <w:numId w:val="21"/>
        </w:numPr>
        <w:rPr>
          <w:rFonts w:cs="Arial"/>
          <w:szCs w:val="22"/>
        </w:rPr>
      </w:pPr>
      <w:r w:rsidRPr="00CF0928">
        <w:rPr>
          <w:rFonts w:cs="Arial"/>
          <w:b/>
          <w:bCs/>
          <w:szCs w:val="22"/>
        </w:rPr>
        <w:t>Frais de séjour</w:t>
      </w:r>
      <w:r w:rsidRPr="00CF0928">
        <w:rPr>
          <w:rFonts w:cs="Arial"/>
          <w:szCs w:val="22"/>
        </w:rPr>
        <w:t>  </w:t>
      </w:r>
    </w:p>
    <w:p w:rsidRPr="00CF0928" w:rsidR="00BD4EB5" w:rsidP="00BD4EB5" w:rsidRDefault="00BD4EB5" w14:paraId="30CE2685" w14:textId="77777777">
      <w:pPr>
        <w:numPr>
          <w:ilvl w:val="0"/>
          <w:numId w:val="22"/>
        </w:numPr>
        <w:tabs>
          <w:tab w:val="num" w:pos="720"/>
        </w:tabs>
        <w:rPr>
          <w:rFonts w:cs="Arial"/>
          <w:szCs w:val="22"/>
        </w:rPr>
      </w:pPr>
      <w:r w:rsidRPr="00CF0928">
        <w:rPr>
          <w:rFonts w:cs="Arial"/>
          <w:szCs w:val="22"/>
        </w:rPr>
        <w:t>Taux journaliers pour la mobilité courte (&lt; 2 mois) </w:t>
      </w:r>
    </w:p>
    <w:p w:rsidRPr="00CF0928" w:rsidR="00BD4EB5" w:rsidP="00BD4EB5" w:rsidRDefault="00BD4EB5" w14:paraId="6FA88226" w14:textId="77777777">
      <w:pPr>
        <w:numPr>
          <w:ilvl w:val="0"/>
          <w:numId w:val="23"/>
        </w:numPr>
        <w:tabs>
          <w:tab w:val="num" w:pos="720"/>
        </w:tabs>
        <w:rPr>
          <w:rFonts w:cs="Arial"/>
          <w:szCs w:val="22"/>
        </w:rPr>
      </w:pPr>
      <w:r w:rsidRPr="00CF0928">
        <w:rPr>
          <w:rFonts w:cs="Arial"/>
          <w:szCs w:val="22"/>
        </w:rPr>
        <w:t>Taux mensuels pour la mobilité longue (&gt; 2 mois) selon le groupe du pays d’accueil </w:t>
      </w:r>
    </w:p>
    <w:p w:rsidRPr="00CF0928" w:rsidR="00BD4EB5" w:rsidP="00BF644B" w:rsidRDefault="00BD4EB5" w14:paraId="2E95D0BC" w14:textId="77777777">
      <w:pPr>
        <w:numPr>
          <w:ilvl w:val="0"/>
          <w:numId w:val="24"/>
        </w:numPr>
        <w:rPr>
          <w:rFonts w:cs="Arial"/>
          <w:szCs w:val="22"/>
        </w:rPr>
      </w:pPr>
      <w:r w:rsidRPr="00CF0928">
        <w:rPr>
          <w:rFonts w:cs="Arial"/>
          <w:b/>
          <w:bCs/>
          <w:szCs w:val="22"/>
        </w:rPr>
        <w:t>Frais de transport</w:t>
      </w:r>
      <w:r w:rsidRPr="00CF0928">
        <w:rPr>
          <w:rFonts w:cs="Arial"/>
          <w:szCs w:val="22"/>
        </w:rPr>
        <w:t xml:space="preserve"> (selon la tranche kilométrique) </w:t>
      </w:r>
    </w:p>
    <w:p w:rsidRPr="00CF0928" w:rsidR="00BD4EB5" w:rsidP="00BD4EB5" w:rsidRDefault="00BD4EB5" w14:paraId="4475898C" w14:textId="77777777">
      <w:pPr>
        <w:numPr>
          <w:ilvl w:val="0"/>
          <w:numId w:val="25"/>
        </w:numPr>
        <w:tabs>
          <w:tab w:val="num" w:pos="720"/>
        </w:tabs>
        <w:rPr>
          <w:rFonts w:cs="Arial"/>
          <w:szCs w:val="22"/>
        </w:rPr>
      </w:pPr>
      <w:r w:rsidRPr="00CF0928">
        <w:rPr>
          <w:rFonts w:cs="Arial"/>
          <w:szCs w:val="22"/>
        </w:rPr>
        <w:t>Forfait standard  </w:t>
      </w:r>
    </w:p>
    <w:p w:rsidRPr="00CF0928" w:rsidR="00BD4EB5" w:rsidP="00BD4EB5" w:rsidRDefault="00BD4EB5" w14:paraId="6C2AA41C" w14:textId="77777777">
      <w:pPr>
        <w:numPr>
          <w:ilvl w:val="0"/>
          <w:numId w:val="26"/>
        </w:numPr>
        <w:tabs>
          <w:tab w:val="num" w:pos="720"/>
        </w:tabs>
        <w:rPr>
          <w:rFonts w:cs="Arial"/>
          <w:szCs w:val="22"/>
        </w:rPr>
      </w:pPr>
      <w:r w:rsidRPr="00CF0928">
        <w:rPr>
          <w:rFonts w:cs="Arial"/>
          <w:szCs w:val="22"/>
        </w:rPr>
        <w:t>Forfait écoresponsable  </w:t>
      </w:r>
    </w:p>
    <w:p w:rsidRPr="000976F2" w:rsidR="00BD4EB5" w:rsidP="00BD4EB5" w:rsidRDefault="00BD4EB5" w14:paraId="3AE6C7B9" w14:textId="77777777">
      <w:pPr>
        <w:rPr>
          <w:rFonts w:cs="Arial"/>
          <w:i/>
          <w:iCs/>
          <w:szCs w:val="22"/>
        </w:rPr>
      </w:pPr>
      <w:r w:rsidRPr="000976F2">
        <w:rPr>
          <w:rFonts w:cs="Arial"/>
          <w:i/>
          <w:iCs/>
          <w:szCs w:val="22"/>
        </w:rPr>
        <w:t xml:space="preserve">Consultez les </w:t>
      </w:r>
      <w:hyperlink w:tgtFrame="_blank" w:history="1" r:id="rId12">
        <w:r w:rsidRPr="000976F2">
          <w:rPr>
            <w:rStyle w:val="Lienhypertexte"/>
            <w:rFonts w:cs="Arial"/>
            <w:b/>
            <w:bCs/>
            <w:i/>
            <w:iCs/>
            <w:szCs w:val="22"/>
          </w:rPr>
          <w:t>Taux mensuels et forfaits transport</w:t>
        </w:r>
      </w:hyperlink>
      <w:r w:rsidRPr="000976F2">
        <w:rPr>
          <w:rFonts w:cs="Arial"/>
          <w:b/>
          <w:bCs/>
          <w:i/>
          <w:iCs/>
          <w:szCs w:val="22"/>
        </w:rPr>
        <w:t> </w:t>
      </w:r>
      <w:r w:rsidRPr="000976F2">
        <w:rPr>
          <w:rFonts w:cs="Arial"/>
          <w:i/>
          <w:iCs/>
          <w:szCs w:val="22"/>
        </w:rPr>
        <w:t> </w:t>
      </w:r>
    </w:p>
    <w:p w:rsidRPr="00CF0928" w:rsidR="00BD4EB5" w:rsidP="00BD4EB5" w:rsidRDefault="00BD4EB5" w14:paraId="4288E04B" w14:textId="77777777">
      <w:pPr>
        <w:rPr>
          <w:rFonts w:cs="Arial"/>
          <w:szCs w:val="22"/>
        </w:rPr>
      </w:pPr>
      <w:r w:rsidRPr="00CF0928">
        <w:rPr>
          <w:rFonts w:cs="Arial"/>
          <w:szCs w:val="22"/>
        </w:rPr>
        <w:t> </w:t>
      </w:r>
    </w:p>
    <w:p w:rsidR="000976F2" w:rsidP="00BD4EB5" w:rsidRDefault="00BD4EB5" w14:paraId="5DFC4BCC" w14:textId="77777777">
      <w:pPr>
        <w:rPr>
          <w:rFonts w:cs="Arial"/>
          <w:szCs w:val="22"/>
        </w:rPr>
      </w:pPr>
      <w:r w:rsidRPr="00CF0928">
        <w:rPr>
          <w:rFonts w:cs="Arial"/>
          <w:szCs w:val="22"/>
        </w:rPr>
        <w:t xml:space="preserve">A cette contribution de base peuvent s’ajouter deux </w:t>
      </w:r>
      <w:r w:rsidRPr="00CF0928">
        <w:rPr>
          <w:rFonts w:cs="Arial"/>
          <w:b/>
          <w:bCs/>
          <w:szCs w:val="22"/>
        </w:rPr>
        <w:t>suppléments financiers</w:t>
      </w:r>
      <w:r w:rsidRPr="00CF0928">
        <w:rPr>
          <w:rFonts w:cs="Arial"/>
          <w:szCs w:val="22"/>
        </w:rPr>
        <w:t xml:space="preserve"> :</w:t>
      </w:r>
    </w:p>
    <w:p w:rsidRPr="00CF0928" w:rsidR="00BD4EB5" w:rsidP="00BD4EB5" w:rsidRDefault="00BD4EB5" w14:paraId="18118027" w14:textId="67F931E7">
      <w:pPr>
        <w:rPr>
          <w:rFonts w:cs="Arial"/>
          <w:szCs w:val="22"/>
        </w:rPr>
      </w:pPr>
      <w:r w:rsidRPr="00CF0928">
        <w:rPr>
          <w:rFonts w:cs="Arial"/>
          <w:szCs w:val="22"/>
        </w:rPr>
        <w:t> </w:t>
      </w:r>
    </w:p>
    <w:p w:rsidRPr="00CF0928" w:rsidR="00BD4EB5" w:rsidP="00BD4EB5" w:rsidRDefault="00BD4EB5" w14:paraId="726E2903" w14:textId="77777777">
      <w:pPr>
        <w:numPr>
          <w:ilvl w:val="0"/>
          <w:numId w:val="27"/>
        </w:numPr>
        <w:rPr>
          <w:rFonts w:cs="Arial"/>
          <w:szCs w:val="22"/>
        </w:rPr>
      </w:pPr>
      <w:r w:rsidRPr="00CF0928">
        <w:rPr>
          <w:rFonts w:cs="Arial"/>
          <w:szCs w:val="22"/>
        </w:rPr>
        <w:t xml:space="preserve">Supplément mobilité de stage : </w:t>
      </w:r>
      <w:r w:rsidRPr="00CF0928">
        <w:rPr>
          <w:rFonts w:cs="Arial"/>
          <w:b/>
          <w:bCs/>
          <w:szCs w:val="22"/>
        </w:rPr>
        <w:t>150€/mois </w:t>
      </w:r>
      <w:r w:rsidRPr="00CF0928">
        <w:rPr>
          <w:rFonts w:cs="Arial"/>
          <w:szCs w:val="22"/>
        </w:rPr>
        <w:t> </w:t>
      </w:r>
    </w:p>
    <w:p w:rsidRPr="001A09DC" w:rsidR="00BD4EB5" w:rsidP="00BD4EB5" w:rsidRDefault="00BD4EB5" w14:paraId="072857EC" w14:textId="77777777">
      <w:pPr>
        <w:numPr>
          <w:ilvl w:val="0"/>
          <w:numId w:val="28"/>
        </w:numPr>
        <w:rPr>
          <w:rFonts w:cs="Arial"/>
          <w:szCs w:val="22"/>
        </w:rPr>
      </w:pPr>
      <w:r w:rsidRPr="00CF0928">
        <w:rPr>
          <w:rFonts w:cs="Arial"/>
          <w:szCs w:val="22"/>
        </w:rPr>
        <w:t xml:space="preserve">Supplément inclusion (pour les participants ayant moins d’opportunités) : </w:t>
      </w:r>
      <w:r w:rsidRPr="00CF0928">
        <w:rPr>
          <w:rFonts w:cs="Arial"/>
          <w:b/>
          <w:bCs/>
          <w:szCs w:val="22"/>
        </w:rPr>
        <w:t xml:space="preserve">250€/mois </w:t>
      </w:r>
    </w:p>
    <w:p w:rsidRPr="000976F2" w:rsidR="00BD4EB5" w:rsidP="000976F2" w:rsidRDefault="000976F2" w14:paraId="31C1A7B7" w14:textId="1D89DE86">
      <w:pPr>
        <w:rPr>
          <w:rFonts w:cs="Arial"/>
          <w:i/>
          <w:iCs/>
          <w:szCs w:val="22"/>
        </w:rPr>
      </w:pPr>
      <w:r w:rsidRPr="000976F2">
        <w:rPr>
          <w:rFonts w:cs="Arial"/>
          <w:i/>
          <w:iCs/>
          <w:szCs w:val="22"/>
        </w:rPr>
        <w:t>Consultez</w:t>
      </w:r>
      <w:r w:rsidRPr="000976F2" w:rsidR="00BD4EB5">
        <w:rPr>
          <w:rFonts w:cs="Arial"/>
          <w:i/>
          <w:iCs/>
          <w:szCs w:val="22"/>
        </w:rPr>
        <w:t xml:space="preserve"> les </w:t>
      </w:r>
      <w:hyperlink w:tgtFrame="_blank" w:history="1" r:id="rId13">
        <w:r w:rsidRPr="000976F2" w:rsidR="00BD4EB5">
          <w:rPr>
            <w:rStyle w:val="Lienhypertexte"/>
            <w:rFonts w:cs="Arial"/>
            <w:b/>
            <w:bCs/>
            <w:i/>
            <w:iCs/>
            <w:szCs w:val="22"/>
          </w:rPr>
          <w:t>critères d’éligibilité supplément inclusion</w:t>
        </w:r>
      </w:hyperlink>
      <w:r w:rsidRPr="000976F2" w:rsidR="00BD4EB5">
        <w:rPr>
          <w:rFonts w:cs="Arial"/>
          <w:i/>
          <w:iCs/>
          <w:szCs w:val="22"/>
        </w:rPr>
        <w:t> </w:t>
      </w:r>
    </w:p>
    <w:p w:rsidRPr="00CF0928" w:rsidR="00BD4EB5" w:rsidP="00BD4EB5" w:rsidRDefault="00BD4EB5" w14:paraId="6D4BED0C" w14:textId="77777777">
      <w:pPr>
        <w:rPr>
          <w:rFonts w:cs="Arial"/>
          <w:szCs w:val="22"/>
        </w:rPr>
      </w:pPr>
      <w:r w:rsidRPr="00CF0928">
        <w:rPr>
          <w:rFonts w:cs="Arial"/>
          <w:szCs w:val="22"/>
        </w:rPr>
        <w:t> </w:t>
      </w:r>
    </w:p>
    <w:p w:rsidRPr="00CF0928" w:rsidR="00BD4EB5" w:rsidP="00BD4EB5" w:rsidRDefault="00BD4EB5" w14:paraId="14D1CFD6" w14:textId="77777777">
      <w:pPr>
        <w:rPr>
          <w:rFonts w:cs="Arial"/>
          <w:szCs w:val="22"/>
        </w:rPr>
      </w:pPr>
      <w:r w:rsidRPr="00CF0928">
        <w:rPr>
          <w:rFonts w:cs="Arial"/>
          <w:b/>
          <w:bCs/>
          <w:szCs w:val="22"/>
        </w:rPr>
        <w:t>Versement de la bourse</w:t>
      </w:r>
      <w:r w:rsidRPr="00CF0928">
        <w:rPr>
          <w:rFonts w:cs="Arial"/>
          <w:szCs w:val="22"/>
        </w:rPr>
        <w:t xml:space="preserve"> :  </w:t>
      </w:r>
    </w:p>
    <w:p w:rsidRPr="00CF0928" w:rsidR="00BD4EB5" w:rsidP="05951DF1" w:rsidRDefault="00BD4EB5" w14:paraId="501EFC90" w14:textId="3C0FC107">
      <w:pPr>
        <w:numPr>
          <w:ilvl w:val="0"/>
          <w:numId w:val="29"/>
        </w:numPr>
        <w:rPr>
          <w:rFonts w:cs="Arial"/>
        </w:rPr>
      </w:pPr>
      <w:r w:rsidRPr="05951DF1">
        <w:rPr>
          <w:rFonts w:cs="Arial"/>
        </w:rPr>
        <w:t xml:space="preserve">Un </w:t>
      </w:r>
      <w:r w:rsidRPr="05951DF1">
        <w:rPr>
          <w:rFonts w:cs="Arial"/>
          <w:b/>
          <w:bCs/>
        </w:rPr>
        <w:t>premier versement de 80%</w:t>
      </w:r>
      <w:r w:rsidRPr="05951DF1">
        <w:rPr>
          <w:rFonts w:cs="Arial"/>
        </w:rPr>
        <w:t xml:space="preserve"> sera effectué par le service financ</w:t>
      </w:r>
      <w:r w:rsidRPr="05951DF1" w:rsidR="133D25C9">
        <w:rPr>
          <w:rFonts w:cs="Arial"/>
        </w:rPr>
        <w:t>ier</w:t>
      </w:r>
      <w:r w:rsidRPr="05951DF1">
        <w:rPr>
          <w:rFonts w:cs="Arial"/>
        </w:rPr>
        <w:t xml:space="preserve"> de l’Université PSL après réception du dossier complet Erasmus+ par la D</w:t>
      </w:r>
      <w:r w:rsidRPr="05951DF1" w:rsidR="39DC3EEF">
        <w:rPr>
          <w:rFonts w:cs="Arial"/>
        </w:rPr>
        <w:t xml:space="preserve">irection des relations internationales </w:t>
      </w:r>
      <w:r w:rsidRPr="05951DF1">
        <w:rPr>
          <w:rFonts w:cs="Arial"/>
        </w:rPr>
        <w:t>de PSL. </w:t>
      </w:r>
    </w:p>
    <w:p w:rsidRPr="00CF0928" w:rsidR="00BD4EB5" w:rsidP="00BD4EB5" w:rsidRDefault="00BD4EB5" w14:paraId="4FCC0684" w14:textId="77777777">
      <w:pPr>
        <w:numPr>
          <w:ilvl w:val="0"/>
          <w:numId w:val="30"/>
        </w:numPr>
        <w:rPr>
          <w:rFonts w:cs="Arial"/>
          <w:szCs w:val="22"/>
        </w:rPr>
      </w:pPr>
      <w:r w:rsidRPr="00CF0928">
        <w:rPr>
          <w:rFonts w:cs="Arial"/>
          <w:szCs w:val="22"/>
        </w:rPr>
        <w:t xml:space="preserve">Un </w:t>
      </w:r>
      <w:r w:rsidRPr="00CF0928">
        <w:rPr>
          <w:rFonts w:cs="Arial"/>
          <w:b/>
          <w:bCs/>
          <w:szCs w:val="22"/>
        </w:rPr>
        <w:t>deuxième versement des 20% restants</w:t>
      </w:r>
      <w:r w:rsidRPr="00CF0928">
        <w:rPr>
          <w:rFonts w:cs="Arial"/>
          <w:szCs w:val="22"/>
        </w:rPr>
        <w:t xml:space="preserve"> sera effectué au retour de la mobilité, après réception des documents de clôture par la DRI de PSL. </w:t>
      </w:r>
    </w:p>
    <w:p w:rsidRPr="00CF0928" w:rsidR="00BD4EB5" w:rsidP="00BD4EB5" w:rsidRDefault="00BD4EB5" w14:paraId="6122C680" w14:textId="77777777">
      <w:pPr>
        <w:rPr>
          <w:rFonts w:cs="Arial"/>
          <w:szCs w:val="22"/>
        </w:rPr>
      </w:pPr>
      <w:r w:rsidRPr="00CF0928">
        <w:rPr>
          <w:rFonts w:cs="Arial"/>
          <w:szCs w:val="22"/>
        </w:rPr>
        <w:t> </w:t>
      </w:r>
    </w:p>
    <w:p w:rsidRPr="00CF0928" w:rsidR="00BD4EB5" w:rsidP="00BD4EB5" w:rsidRDefault="00BD4EB5" w14:paraId="0E260075" w14:textId="77777777">
      <w:pPr>
        <w:numPr>
          <w:ilvl w:val="0"/>
          <w:numId w:val="31"/>
        </w:numPr>
        <w:rPr>
          <w:rFonts w:cs="Arial"/>
          <w:szCs w:val="22"/>
        </w:rPr>
      </w:pPr>
      <w:r w:rsidRPr="00CF0928">
        <w:rPr>
          <w:rFonts w:cs="Arial"/>
          <w:b/>
          <w:bCs/>
          <w:szCs w:val="22"/>
        </w:rPr>
        <w:t>Calendrier </w:t>
      </w:r>
      <w:r w:rsidRPr="00CF0928">
        <w:rPr>
          <w:rFonts w:cs="Arial"/>
          <w:szCs w:val="22"/>
        </w:rPr>
        <w:t> </w:t>
      </w:r>
    </w:p>
    <w:p w:rsidRPr="00CF0928" w:rsidR="00BD4EB5" w:rsidP="04661AF0" w:rsidRDefault="00BD4EB5" w14:paraId="62EC47D1" w14:noSpellErr="1" w14:textId="4F571893">
      <w:pPr>
        <w:rPr>
          <w:rFonts w:cs="Arial"/>
        </w:rPr>
      </w:pPr>
      <w:r w:rsidRPr="04661AF0" w:rsidR="00BD4EB5">
        <w:rPr>
          <w:rFonts w:cs="Arial"/>
        </w:rPr>
        <w:t> </w:t>
      </w:r>
      <w:r w:rsidRPr="04661AF0" w:rsidR="1D08DFD7">
        <w:rPr>
          <w:rFonts w:cs="Arial"/>
        </w:rPr>
        <w:t>F</w:t>
      </w:r>
    </w:p>
    <w:tbl>
      <w:tblPr>
        <w:tblStyle w:val="Grilledutableau"/>
        <w:tblW w:w="90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6478"/>
      </w:tblGrid>
      <w:tr w:rsidRPr="00CF0928" w:rsidR="00BD4EB5" w:rsidTr="00E526D5" w14:paraId="0B782FEC" w14:textId="77777777">
        <w:trPr>
          <w:trHeight w:val="300"/>
        </w:trPr>
        <w:tc>
          <w:tcPr>
            <w:tcW w:w="2552" w:type="dxa"/>
            <w:tcBorders>
              <w:bottom w:val="single" w:color="auto" w:sz="12" w:space="0"/>
              <w:right w:val="single" w:color="auto" w:sz="12" w:space="0"/>
            </w:tcBorders>
            <w:hideMark/>
          </w:tcPr>
          <w:p w:rsidRPr="0011151E" w:rsidR="00BD4EB5" w:rsidP="00E526D5" w:rsidRDefault="00BD4EB5" w14:paraId="1D8C096D" w14:textId="77777777">
            <w:pPr>
              <w:rPr>
                <w:rFonts w:cs="Arial"/>
                <w:szCs w:val="22"/>
              </w:rPr>
            </w:pPr>
            <w:r w:rsidRPr="0011151E">
              <w:rPr>
                <w:rFonts w:cs="Arial"/>
                <w:szCs w:val="22"/>
              </w:rPr>
              <w:t>Ouverture de l’appel </w:t>
            </w:r>
          </w:p>
        </w:tc>
        <w:tc>
          <w:tcPr>
            <w:tcW w:w="6478" w:type="dxa"/>
            <w:tcBorders>
              <w:left w:val="single" w:color="auto" w:sz="12" w:space="0"/>
              <w:bottom w:val="single" w:color="auto" w:sz="12" w:space="0"/>
            </w:tcBorders>
            <w:hideMark/>
          </w:tcPr>
          <w:p w:rsidRPr="00CF0928" w:rsidR="00BD4EB5" w:rsidP="00E526D5" w:rsidRDefault="00BD4EB5" w14:paraId="20524EAD" w14:textId="77777777">
            <w:pPr>
              <w:rPr>
                <w:rFonts w:cs="Arial"/>
                <w:szCs w:val="22"/>
              </w:rPr>
            </w:pPr>
            <w:r w:rsidRPr="00CF0928">
              <w:rPr>
                <w:rFonts w:cs="Arial"/>
                <w:szCs w:val="22"/>
              </w:rPr>
              <w:t>Octobre 2025</w:t>
            </w:r>
          </w:p>
          <w:p w:rsidRPr="00CF0928" w:rsidR="00BD4EB5" w:rsidP="00E526D5" w:rsidRDefault="00BD4EB5" w14:paraId="10A0FF8B" w14:textId="77777777">
            <w:pPr>
              <w:rPr>
                <w:rFonts w:cs="Arial"/>
                <w:szCs w:val="22"/>
              </w:rPr>
            </w:pPr>
            <w:r w:rsidRPr="00CF0928">
              <w:rPr>
                <w:rFonts w:cs="Arial"/>
                <w:szCs w:val="22"/>
              </w:rPr>
              <w:t> </w:t>
            </w:r>
          </w:p>
        </w:tc>
      </w:tr>
      <w:tr w:rsidRPr="00CF0928" w:rsidR="00BD4EB5" w:rsidTr="00E526D5" w14:paraId="3FD11956" w14:textId="77777777">
        <w:trPr>
          <w:trHeight w:val="300"/>
        </w:trPr>
        <w:tc>
          <w:tcPr>
            <w:tcW w:w="255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11151E" w:rsidR="00BD4EB5" w:rsidP="00E526D5" w:rsidRDefault="00BD4EB5" w14:paraId="1CD31B99" w14:textId="77777777">
            <w:pPr>
              <w:rPr>
                <w:rFonts w:cs="Arial"/>
                <w:szCs w:val="22"/>
              </w:rPr>
            </w:pPr>
            <w:r w:rsidRPr="0011151E">
              <w:rPr>
                <w:rFonts w:cs="Arial"/>
                <w:szCs w:val="22"/>
              </w:rPr>
              <w:t>Fermeture de l’appel</w:t>
            </w:r>
          </w:p>
        </w:tc>
        <w:tc>
          <w:tcPr>
            <w:tcW w:w="64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hideMark/>
          </w:tcPr>
          <w:p w:rsidRPr="00CF0928" w:rsidR="00BD4EB5" w:rsidP="00E526D5" w:rsidRDefault="00BD4EB5" w14:paraId="69D66C29" w14:textId="77777777">
            <w:pPr>
              <w:rPr>
                <w:rFonts w:cs="Arial"/>
                <w:szCs w:val="22"/>
              </w:rPr>
            </w:pPr>
            <w:r w:rsidRPr="00CF0928">
              <w:rPr>
                <w:rFonts w:cs="Arial"/>
                <w:szCs w:val="22"/>
              </w:rPr>
              <w:t>Novembre 2025 </w:t>
            </w:r>
          </w:p>
          <w:p w:rsidRPr="00CF0928" w:rsidR="00BD4EB5" w:rsidP="00E526D5" w:rsidRDefault="00BD4EB5" w14:paraId="620047D8" w14:textId="77777777">
            <w:pPr>
              <w:rPr>
                <w:rFonts w:cs="Arial"/>
                <w:szCs w:val="22"/>
              </w:rPr>
            </w:pPr>
            <w:r w:rsidRPr="00CF0928">
              <w:rPr>
                <w:rFonts w:cs="Arial"/>
                <w:szCs w:val="22"/>
              </w:rPr>
              <w:t> </w:t>
            </w:r>
          </w:p>
        </w:tc>
      </w:tr>
      <w:tr w:rsidRPr="00CF0928" w:rsidR="00BD4EB5" w:rsidTr="00E526D5" w14:paraId="686421AD" w14:textId="77777777">
        <w:trPr>
          <w:trHeight w:val="300"/>
        </w:trPr>
        <w:tc>
          <w:tcPr>
            <w:tcW w:w="255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11151E" w:rsidR="00BD4EB5" w:rsidP="00E526D5" w:rsidRDefault="00BD4EB5" w14:paraId="53C5D959" w14:textId="77777777">
            <w:pPr>
              <w:rPr>
                <w:rFonts w:cs="Arial"/>
                <w:szCs w:val="22"/>
              </w:rPr>
            </w:pPr>
            <w:r w:rsidRPr="0011151E">
              <w:rPr>
                <w:rFonts w:cs="Arial"/>
                <w:szCs w:val="22"/>
              </w:rPr>
              <w:t>Sélection et résultats </w:t>
            </w:r>
          </w:p>
        </w:tc>
        <w:tc>
          <w:tcPr>
            <w:tcW w:w="64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hideMark/>
          </w:tcPr>
          <w:p w:rsidRPr="00CF0928" w:rsidR="00BD4EB5" w:rsidP="00E526D5" w:rsidRDefault="00BD4EB5" w14:paraId="683014C1" w14:textId="77777777">
            <w:pPr>
              <w:rPr>
                <w:rFonts w:cs="Arial"/>
                <w:szCs w:val="22"/>
              </w:rPr>
            </w:pPr>
            <w:r w:rsidRPr="00CF0928">
              <w:rPr>
                <w:rFonts w:cs="Arial"/>
                <w:szCs w:val="22"/>
              </w:rPr>
              <w:t>Décembre 2025 </w:t>
            </w:r>
          </w:p>
          <w:p w:rsidRPr="00CF0928" w:rsidR="00BD4EB5" w:rsidP="00E526D5" w:rsidRDefault="00BD4EB5" w14:paraId="17991FC2" w14:textId="77777777">
            <w:pPr>
              <w:rPr>
                <w:rFonts w:cs="Arial"/>
                <w:szCs w:val="22"/>
              </w:rPr>
            </w:pPr>
            <w:r w:rsidRPr="00CF0928">
              <w:rPr>
                <w:rFonts w:cs="Arial"/>
                <w:szCs w:val="22"/>
              </w:rPr>
              <w:t> </w:t>
            </w:r>
          </w:p>
        </w:tc>
      </w:tr>
      <w:tr w:rsidRPr="00CF0928" w:rsidR="00BD4EB5" w:rsidTr="00E526D5" w14:paraId="1D6F69AC" w14:textId="77777777">
        <w:trPr>
          <w:trHeight w:val="300"/>
        </w:trPr>
        <w:tc>
          <w:tcPr>
            <w:tcW w:w="2552" w:type="dxa"/>
            <w:tcBorders>
              <w:top w:val="single" w:color="auto" w:sz="12" w:space="0"/>
              <w:right w:val="single" w:color="auto" w:sz="12" w:space="0"/>
            </w:tcBorders>
            <w:hideMark/>
          </w:tcPr>
          <w:p w:rsidRPr="0011151E" w:rsidR="00BD4EB5" w:rsidP="00E526D5" w:rsidRDefault="00BD4EB5" w14:paraId="646CDFA2" w14:textId="77777777">
            <w:pPr>
              <w:rPr>
                <w:rFonts w:cs="Arial"/>
                <w:szCs w:val="22"/>
              </w:rPr>
            </w:pPr>
            <w:r w:rsidRPr="0011151E">
              <w:rPr>
                <w:rFonts w:cs="Arial"/>
                <w:szCs w:val="22"/>
              </w:rPr>
              <w:t>Période de mobilité </w:t>
            </w:r>
          </w:p>
        </w:tc>
        <w:tc>
          <w:tcPr>
            <w:tcW w:w="6478" w:type="dxa"/>
            <w:tcBorders>
              <w:top w:val="single" w:color="auto" w:sz="12" w:space="0"/>
              <w:left w:val="single" w:color="auto" w:sz="12" w:space="0"/>
            </w:tcBorders>
            <w:hideMark/>
          </w:tcPr>
          <w:p w:rsidRPr="00CF0928" w:rsidR="00BD4EB5" w:rsidP="00E526D5" w:rsidRDefault="00BD4EB5" w14:paraId="3FCC385F" w14:textId="77777777">
            <w:pPr>
              <w:rPr>
                <w:rFonts w:cs="Arial"/>
                <w:szCs w:val="22"/>
              </w:rPr>
            </w:pPr>
            <w:r w:rsidRPr="00CF0928">
              <w:rPr>
                <w:rFonts w:cs="Arial"/>
                <w:szCs w:val="22"/>
              </w:rPr>
              <w:t>Février - Décembre 2026 </w:t>
            </w:r>
          </w:p>
          <w:p w:rsidRPr="00CF0928" w:rsidR="00BD4EB5" w:rsidP="00E526D5" w:rsidRDefault="00BD4EB5" w14:paraId="189B6B48" w14:textId="77777777">
            <w:pPr>
              <w:rPr>
                <w:rFonts w:cs="Arial"/>
                <w:szCs w:val="22"/>
              </w:rPr>
            </w:pPr>
            <w:r w:rsidRPr="00CF0928">
              <w:rPr>
                <w:rFonts w:cs="Arial"/>
                <w:szCs w:val="22"/>
              </w:rPr>
              <w:t> </w:t>
            </w:r>
          </w:p>
        </w:tc>
      </w:tr>
    </w:tbl>
    <w:p w:rsidRPr="004707C6" w:rsidR="00BD4EB5" w:rsidP="00BD4EB5" w:rsidRDefault="00BD4EB5" w14:paraId="5635AE05" w14:textId="77777777">
      <w:pPr>
        <w:rPr>
          <w:rFonts w:cs="Arial"/>
          <w:szCs w:val="22"/>
        </w:rPr>
      </w:pPr>
      <w:r w:rsidRPr="00CF0928">
        <w:rPr>
          <w:rFonts w:cs="Arial"/>
          <w:szCs w:val="22"/>
        </w:rPr>
        <w:t> </w:t>
      </w:r>
      <w:r w:rsidRPr="00CF0928">
        <w:rPr>
          <w:rFonts w:cs="Arial"/>
          <w:szCs w:val="22"/>
        </w:rPr>
        <w:tab/>
      </w:r>
      <w:r w:rsidRPr="00CF0928">
        <w:rPr>
          <w:rFonts w:cs="Arial"/>
          <w:szCs w:val="22"/>
        </w:rPr>
        <w:tab/>
      </w:r>
      <w:r w:rsidRPr="00CF0928">
        <w:rPr>
          <w:rFonts w:cs="Arial"/>
          <w:szCs w:val="22"/>
        </w:rPr>
        <w:t xml:space="preserve"> </w:t>
      </w:r>
      <w:r w:rsidRPr="00CF0928">
        <w:rPr>
          <w:rFonts w:cs="Arial"/>
          <w:szCs w:val="22"/>
        </w:rPr>
        <w:tab/>
      </w:r>
      <w:r w:rsidRPr="00CF0928">
        <w:rPr>
          <w:rFonts w:cs="Arial"/>
          <w:szCs w:val="22"/>
        </w:rPr>
        <w:tab/>
      </w:r>
      <w:r w:rsidRPr="00CF0928">
        <w:rPr>
          <w:rFonts w:cs="Arial"/>
          <w:szCs w:val="22"/>
        </w:rPr>
        <w:t> </w:t>
      </w:r>
    </w:p>
    <w:p w:rsidRPr="005817BB" w:rsidR="00AF125E" w:rsidP="00031471" w:rsidRDefault="201D3F7B" w14:paraId="492B4953" w14:textId="38AAF753">
      <w:r w:rsidRPr="05951DF1">
        <w:rPr>
          <w:rFonts w:cs="Arial"/>
          <w:i/>
          <w:iCs/>
        </w:rPr>
        <w:t>NB : chaque établissement-composante dispose de son propre calendrier. Consultez la page “Mobilité doctorale” pour les dates précises.</w:t>
      </w:r>
    </w:p>
    <w:sectPr w:rsidRPr="005817BB" w:rsidR="00AF125E" w:rsidSect="00AF12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orient="portrait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7C5" w:rsidP="003A00F3" w:rsidRDefault="005B17C5" w14:paraId="3458541B" w14:textId="77777777">
      <w:r>
        <w:separator/>
      </w:r>
    </w:p>
  </w:endnote>
  <w:endnote w:type="continuationSeparator" w:id="0">
    <w:p w:rsidR="005B17C5" w:rsidP="003A00F3" w:rsidRDefault="005B17C5" w14:paraId="6C2C47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4236F0" w:rsidP="003A00F3" w:rsidRDefault="004236F0" w14:paraId="3F1CE978" w14:textId="77777777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1F1E46" w:rsidP="003A00F3" w:rsidRDefault="001F1E46" w14:paraId="53357E2E" w14:textId="77777777">
    <w:pPr>
      <w:pStyle w:val="Pieddepage"/>
      <w:rPr>
        <w:rStyle w:val="Numrodepage"/>
      </w:rPr>
    </w:pPr>
  </w:p>
  <w:p w:rsidR="001F1E46" w:rsidP="003A00F3" w:rsidRDefault="001F1E46" w14:paraId="46367F88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E52FB" w:rsidP="003A00F3" w:rsidRDefault="00AF125E" w14:paraId="004401E9" w14:textId="77777777">
    <w:pPr>
      <w:pStyle w:val="Pieddepag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0464FCD" wp14:editId="047045C4">
              <wp:simplePos x="0" y="0"/>
              <wp:positionH relativeFrom="margin">
                <wp:posOffset>-2117</wp:posOffset>
              </wp:positionH>
              <wp:positionV relativeFrom="paragraph">
                <wp:posOffset>-132715</wp:posOffset>
              </wp:positionV>
              <wp:extent cx="1331807" cy="373380"/>
              <wp:effectExtent l="0" t="0" r="1905" b="762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807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D4EB5" w:rsidP="00BD4EB5" w:rsidRDefault="00BD4EB5" w14:paraId="18FD50CB" w14:textId="77777777">
                          <w:pPr>
                            <w:jc w:val="left"/>
                            <w:rPr>
                              <w:sz w:val="16"/>
                            </w:rPr>
                          </w:pPr>
                          <w:bookmarkStart w:name="_Hlk209689781" w:id="0"/>
                          <w:bookmarkStart w:name="_Hlk209689782" w:id="1"/>
                          <w:r>
                            <w:rPr>
                              <w:sz w:val="16"/>
                            </w:rPr>
                            <w:t>Aide à la mobilité Erasmus+</w:t>
                          </w:r>
                        </w:p>
                        <w:p w:rsidRPr="00C3091B" w:rsidR="00BD4EB5" w:rsidP="00BD4EB5" w:rsidRDefault="00BD4EB5" w14:paraId="491138E3" w14:textId="77777777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Doctorant(e)s PSL</w:t>
                          </w:r>
                          <w:bookmarkEnd w:id="0"/>
                          <w:bookmarkEnd w:id="1"/>
                        </w:p>
                        <w:p w:rsidRPr="00C3091B" w:rsidR="00C3091B" w:rsidP="009D5159" w:rsidRDefault="00C3091B" w14:paraId="1A51F639" w14:textId="23629BBC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7B875E1">
            <v:shapetype id="_x0000_t202" coordsize="21600,21600" o:spt="202" path="m,l,21600r21600,l21600,xe" w14:anchorId="60464FCD">
              <v:stroke joinstyle="miter"/>
              <v:path gradientshapeok="t" o:connecttype="rect"/>
            </v:shapetype>
            <v:shape id="Zone de texte 4" style="position:absolute;left:0;text-align:left;margin-left:-.15pt;margin-top:-10.45pt;width:104.85pt;height:29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">
              <v:textbox inset="0,0,0,0">
                <w:txbxContent>
                  <w:p w:rsidR="00BD4EB5" w:rsidP="00BD4EB5" w:rsidRDefault="00BD4EB5" w14:paraId="07B1CCD3" w14:textId="77777777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Aide à la mobilité Erasmus+</w:t>
                    </w:r>
                  </w:p>
                  <w:p w:rsidRPr="00C3091B" w:rsidR="00BD4EB5" w:rsidP="00BD4EB5" w:rsidRDefault="00BD4EB5" w14:paraId="1DD66C01" w14:textId="77777777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Doctorant(e)s PSL</w:t>
                    </w:r>
                  </w:p>
                  <w:p w:rsidRPr="00C3091B" w:rsidR="00C3091B" w:rsidP="009D5159" w:rsidRDefault="00C3091B" w14:paraId="672A6659" w14:textId="23629BBC">
                    <w:pPr>
                      <w:jc w:val="left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A7D91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2311EF5" wp14:editId="117D8409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D9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73EF762" wp14:editId="65A52139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:rsidRPr="00B55C0C" w:rsidR="00A32151" w:rsidP="003A00F3" w:rsidRDefault="00A32151" w14:paraId="54139969" w14:textId="77777777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Pr="00B55C0C" w:rsidR="00A32151" w:rsidP="003A00F3" w:rsidRDefault="00031471" w14:paraId="0EF144C3" w14:textId="77777777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rodepage"/>
                              </w:rPr>
                            </w:sdtEndPr>
                            <w:sdtContent>
                              <w:r w:rsidRPr="00B55C0C" w:rsidR="00A32151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B55C0C" w:rsidR="00A32151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Pr="00B55C0C" w:rsidR="00A32151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A32151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Pr="00B55C0C" w:rsidR="00A32151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A32151" w:rsidP="003A00F3" w:rsidRDefault="00A32151" w14:paraId="58E7AAB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38BC760">
            <v:oval id="Zone de texte 33" style="position:absolute;left:0;text-align:left;margin-left:515.95pt;margin-top:793.25pt;width:26.1pt;height:26.1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color="#2a3c83" stroked="f" strokeweight=".5pt" w14:anchorId="173EF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ufPg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">
              <o:lock v:ext="edit" aspectratio="t"/>
              <v:textbox inset="0,1mm,0,1mm">
                <w:txbxContent>
                  <w:sdt>
                    <w:sdtPr>
                      <w:id w:val="1566025849"/>
                      <w:rPr>
                        <w:rStyle w:val="PageNumber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:rsidRPr="00B55C0C" w:rsidR="00A32151" w:rsidP="003A00F3" w:rsidRDefault="00A32151" w14:paraId="4590CB77" w14:textId="77777777">
                        <w:pPr>
                          <w:pStyle w:val="Footer"/>
                          <w:jc w:val="center"/>
                          <w:rPr>
                            <w:rStyle w:val="PageNumber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:rsidRPr="00B55C0C" w:rsidR="00A32151" w:rsidP="003A00F3" w:rsidRDefault="00E526D5" w14:paraId="413E490F" w14:textId="77777777">
                    <w:pPr>
                      <w:pStyle w:val="Footer"/>
                      <w:jc w:val="center"/>
                      <w:rPr>
                        <w:rStyle w:val="PageNumber"/>
                        <w:color w:val="FFFFFF" w:themeColor="background1"/>
                      </w:rPr>
                    </w:pPr>
                    <w:sdt>
                      <w:sdtPr>
                        <w:id w:val="367759298"/>
                        <w:rPr>
                          <w:rStyle w:val="PageNumber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B55C0C" w:rsidR="00A32151">
                          <w:rPr>
                            <w:rStyle w:val="PageNumber"/>
                            <w:color w:val="FFFFFF" w:themeColor="background1"/>
                          </w:rPr>
                          <w:fldChar w:fldCharType="begin"/>
                        </w:r>
                        <w:r w:rsidRPr="00B55C0C" w:rsidR="00A32151">
                          <w:rPr>
                            <w:rStyle w:val="PageNumber"/>
                            <w:color w:val="FFFFFF" w:themeColor="background1"/>
                          </w:rPr>
                          <w:instrText xml:space="preserve"> PAGE </w:instrText>
                        </w:r>
                        <w:r w:rsidRPr="00B55C0C" w:rsidR="00A32151">
                          <w:rPr>
                            <w:rStyle w:val="PageNumber"/>
                            <w:color w:val="FFFFFF" w:themeColor="background1"/>
                          </w:rPr>
                          <w:fldChar w:fldCharType="separate"/>
                        </w:r>
                        <w:r w:rsidR="00A32151">
                          <w:rPr>
                            <w:rStyle w:val="PageNumber"/>
                            <w:color w:val="FFFFFF" w:themeColor="background1"/>
                          </w:rPr>
                          <w:t>1</w:t>
                        </w:r>
                        <w:r w:rsidRPr="00B55C0C" w:rsidR="00A32151">
                          <w:rPr>
                            <w:rStyle w:val="PageNumber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:rsidR="00A32151" w:rsidP="003A00F3" w:rsidRDefault="00A32151" w14:paraId="0A37501D" w14:textId="77777777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:rsidR="0009028C" w:rsidP="003A00F3" w:rsidRDefault="00FA093F" w14:paraId="4C09FCC5" w14:textId="77777777">
    <w:pPr>
      <w:pStyle w:val="Pieddepage"/>
    </w:pPr>
    <w:r>
      <w:rPr>
        <w:noProof/>
        <w:lang w:eastAsia="fr-FR"/>
      </w:rPr>
      <w:t xml:space="preserve"> </w:t>
    </w:r>
  </w:p>
  <w:p w:rsidR="00D92C3C" w:rsidP="003A00F3" w:rsidRDefault="00B55C0C" w14:paraId="3632E317" w14:textId="77777777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0D07C9">
      <w:fldChar w:fldCharType="separate"/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F57C5" w:rsidP="003A00F3" w:rsidRDefault="00D91086" w14:paraId="3EE7CF49" w14:textId="7777777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9EED039" wp14:editId="19B6F140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:rsidRPr="00B55C0C" w:rsidR="00D91086" w:rsidP="003A00F3" w:rsidRDefault="00D91086" w14:paraId="4AE3B81E" w14:textId="77777777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Pr="00B55C0C" w:rsidR="00D91086" w:rsidP="003A00F3" w:rsidRDefault="00031471" w14:paraId="1D1B2FFE" w14:textId="77777777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rodepage"/>
                              </w:rPr>
                            </w:sdtEndPr>
                            <w:sdtContent>
                              <w:r w:rsidRPr="00B55C0C" w:rsidR="00D91086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B55C0C" w:rsidR="00D91086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Pr="00B55C0C" w:rsidR="00D91086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D91086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Pr="00B55C0C" w:rsidR="00D91086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D91086" w:rsidP="003A00F3" w:rsidRDefault="00D91086" w14:paraId="370CD5A0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723E9F7">
            <v:oval id="Zone de texte 2" style="position:absolute;left:0;text-align:left;margin-left:515.95pt;margin-top:793.25pt;width:26.1pt;height:26.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fillcolor="#2a3c83" stroked="f" strokeweight=".5pt" w14:anchorId="39EED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">
              <o:lock v:ext="edit" aspectratio="t"/>
              <v:textbox inset="0,1mm,0,1mm">
                <w:txbxContent>
                  <w:sdt>
                    <w:sdtPr>
                      <w:id w:val="1851539725"/>
                      <w:rPr>
                        <w:rStyle w:val="PageNumber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:rsidRPr="00B55C0C" w:rsidR="00D91086" w:rsidP="003A00F3" w:rsidRDefault="00D91086" w14:paraId="40E93A33" w14:textId="77777777">
                        <w:pPr>
                          <w:pStyle w:val="Footer"/>
                          <w:jc w:val="center"/>
                          <w:rPr>
                            <w:rStyle w:val="PageNumber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PageNumber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:rsidRPr="00B55C0C" w:rsidR="00D91086" w:rsidP="003A00F3" w:rsidRDefault="00E526D5" w14:paraId="4F0E88AE" w14:textId="77777777">
                    <w:pPr>
                      <w:pStyle w:val="Footer"/>
                      <w:jc w:val="center"/>
                      <w:rPr>
                        <w:rStyle w:val="PageNumber"/>
                        <w:color w:val="FFFFFF" w:themeColor="background1"/>
                      </w:rPr>
                    </w:pPr>
                    <w:sdt>
                      <w:sdtPr>
                        <w:id w:val="475947484"/>
                        <w:rPr>
                          <w:rStyle w:val="PageNumber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B55C0C" w:rsidR="00D91086">
                          <w:rPr>
                            <w:rStyle w:val="PageNumber"/>
                            <w:color w:val="FFFFFF" w:themeColor="background1"/>
                          </w:rPr>
                          <w:fldChar w:fldCharType="begin"/>
                        </w:r>
                        <w:r w:rsidRPr="00B55C0C" w:rsidR="00D91086">
                          <w:rPr>
                            <w:rStyle w:val="PageNumber"/>
                            <w:color w:val="FFFFFF" w:themeColor="background1"/>
                          </w:rPr>
                          <w:instrText xml:space="preserve"> PAGE </w:instrText>
                        </w:r>
                        <w:r w:rsidRPr="00B55C0C" w:rsidR="00D91086">
                          <w:rPr>
                            <w:rStyle w:val="PageNumber"/>
                            <w:color w:val="FFFFFF" w:themeColor="background1"/>
                          </w:rPr>
                          <w:fldChar w:fldCharType="separate"/>
                        </w:r>
                        <w:r w:rsidR="00D91086">
                          <w:rPr>
                            <w:rStyle w:val="PageNumber"/>
                            <w:color w:val="FFFFFF" w:themeColor="background1"/>
                          </w:rPr>
                          <w:t>1</w:t>
                        </w:r>
                        <w:r w:rsidRPr="00B55C0C" w:rsidR="00D91086">
                          <w:rPr>
                            <w:rStyle w:val="PageNumber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:rsidR="00D91086" w:rsidP="003A00F3" w:rsidRDefault="00D91086" w14:paraId="5DAB6C7B" w14:textId="77777777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7C5" w:rsidP="003A00F3" w:rsidRDefault="005B17C5" w14:paraId="75CE4A77" w14:textId="77777777">
      <w:r>
        <w:separator/>
      </w:r>
    </w:p>
  </w:footnote>
  <w:footnote w:type="continuationSeparator" w:id="0">
    <w:p w:rsidR="005B17C5" w:rsidP="003A00F3" w:rsidRDefault="005B17C5" w14:paraId="0A46D1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:rsidR="0009028C" w:rsidP="003A00F3" w:rsidRDefault="00C3091B" w14:paraId="315E605F" w14:textId="77777777">
        <w:pPr>
          <w:pStyle w:val="En-tte"/>
          <w:rPr>
            <w:rStyle w:val="Numrodepage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7" behindDoc="1" locked="0" layoutInCell="0" allowOverlap="1" wp14:anchorId="719816FB" wp14:editId="72B68CD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arto="http://schemas.microsoft.com/office/word/2006/arto">
              <w:pict w14:anchorId="4B921D03">
                <v:rect id="WordPictureWatermark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lt="/Users/mduong/Desktop/modeles-bureautique/filigrane-portrait.pdf" o:spid="_x0000_s1026" o:allowincell="f" filled="f" stroked="f" w14:anchorId="7CE5C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:rsidR="0035400C" w:rsidP="003A00F3" w:rsidRDefault="0035400C" w14:paraId="0CA3FA7A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951DF1" w:rsidTr="05951DF1" w14:paraId="45593DF5" w14:textId="77777777">
      <w:trPr>
        <w:trHeight w:val="300"/>
      </w:trPr>
      <w:tc>
        <w:tcPr>
          <w:tcW w:w="3210" w:type="dxa"/>
        </w:tcPr>
        <w:p w:rsidR="05951DF1" w:rsidP="05951DF1" w:rsidRDefault="05951DF1" w14:paraId="52EEEF1D" w14:textId="3BCC6859">
          <w:pPr>
            <w:pStyle w:val="En-tte"/>
            <w:ind w:left="-115"/>
            <w:jc w:val="left"/>
          </w:pPr>
        </w:p>
      </w:tc>
      <w:tc>
        <w:tcPr>
          <w:tcW w:w="3210" w:type="dxa"/>
        </w:tcPr>
        <w:p w:rsidR="05951DF1" w:rsidP="05951DF1" w:rsidRDefault="05951DF1" w14:paraId="741A73F7" w14:textId="3E4CCCFC">
          <w:pPr>
            <w:pStyle w:val="En-tte"/>
            <w:jc w:val="center"/>
          </w:pPr>
        </w:p>
      </w:tc>
      <w:tc>
        <w:tcPr>
          <w:tcW w:w="3210" w:type="dxa"/>
        </w:tcPr>
        <w:p w:rsidR="05951DF1" w:rsidP="05951DF1" w:rsidRDefault="05951DF1" w14:paraId="60646331" w14:textId="531034EA">
          <w:pPr>
            <w:pStyle w:val="En-tte"/>
            <w:ind w:right="-115"/>
            <w:jc w:val="right"/>
          </w:pPr>
        </w:p>
      </w:tc>
    </w:tr>
  </w:tbl>
  <w:p w:rsidR="05951DF1" w:rsidP="05951DF1" w:rsidRDefault="05951DF1" w14:paraId="483E36A5" w14:textId="638B2F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125E" w:rsidP="003A00F3" w:rsidRDefault="00AF125E" w14:paraId="57D326D6" w14:textId="242A2A68">
    <w:pPr>
      <w:pStyle w:val="En-tte"/>
    </w:pPr>
  </w:p>
  <w:p w:rsidR="00AF125E" w:rsidP="003A00F3" w:rsidRDefault="00AF125E" w14:paraId="5A85B921" w14:textId="77777777">
    <w:pPr>
      <w:pStyle w:val="En-tte"/>
    </w:pPr>
  </w:p>
  <w:p w:rsidR="00AF125E" w:rsidP="003A00F3" w:rsidRDefault="00AF125E" w14:paraId="571C1B93" w14:textId="77777777">
    <w:pPr>
      <w:pStyle w:val="En-tte"/>
    </w:pPr>
  </w:p>
  <w:p w:rsidR="00AF125E" w:rsidP="003A00F3" w:rsidRDefault="00AF125E" w14:paraId="6C5AC884" w14:textId="77777777">
    <w:pPr>
      <w:pStyle w:val="En-tte"/>
    </w:pPr>
  </w:p>
  <w:p w:rsidR="00AF125E" w:rsidP="003A00F3" w:rsidRDefault="00AF125E" w14:paraId="71CB624A" w14:textId="77777777">
    <w:pPr>
      <w:pStyle w:val="En-tte"/>
    </w:pPr>
  </w:p>
  <w:p w:rsidR="00AF125E" w:rsidP="05951DF1" w:rsidRDefault="05951DF1" w14:paraId="2286B848" w14:textId="2B526493">
    <w:pPr>
      <w:pStyle w:val="En-tte"/>
      <w:jc w:val="right"/>
    </w:pPr>
    <w:r>
      <w:rPr>
        <w:noProof/>
      </w:rPr>
      <w:drawing>
        <wp:inline distT="0" distB="0" distL="0" distR="0" wp14:anchorId="261E1C05" wp14:editId="06F4F3E5">
          <wp:extent cx="3117650" cy="673246"/>
          <wp:effectExtent l="0" t="0" r="0" b="0"/>
          <wp:docPr id="2031410146" name="Image 7" descr="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650" cy="673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400C" w:rsidP="003A00F3" w:rsidRDefault="001A5C07" w14:paraId="4A276A85" w14:textId="77777777">
    <w:pPr>
      <w:pStyle w:val="En-tte"/>
    </w:pPr>
    <w:r>
      <w:rPr>
        <w:noProof/>
      </w:rPr>
      <w:drawing>
        <wp:anchor distT="0" distB="0" distL="114300" distR="114300" simplePos="0" relativeHeight="251658243" behindDoc="1" locked="1" layoutInCell="1" allowOverlap="1" wp14:anchorId="16E79A83" wp14:editId="4E1F3EAC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</w:rPr>
      <w:drawing>
        <wp:anchor distT="0" distB="0" distL="114300" distR="114300" simplePos="0" relativeHeight="251658245" behindDoc="1" locked="1" layoutInCell="1" allowOverlap="1" wp14:anchorId="1FB43756" wp14:editId="5FBB9277">
          <wp:simplePos x="0" y="0"/>
          <wp:positionH relativeFrom="column">
            <wp:posOffset>-180340</wp:posOffset>
          </wp:positionH>
          <wp:positionV relativeFrom="page">
            <wp:posOffset>277495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6B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64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2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2C5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D8F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3EA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3BFC9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99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312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042445"/>
    <w:multiLevelType w:val="multilevel"/>
    <w:tmpl w:val="29E24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5D03F20"/>
    <w:multiLevelType w:val="multilevel"/>
    <w:tmpl w:val="2DF2F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B85032"/>
    <w:multiLevelType w:val="hybridMultilevel"/>
    <w:tmpl w:val="286E6F44"/>
    <w:lvl w:ilvl="0" w:tplc="D2602560">
      <w:numFmt w:val="bullet"/>
      <w:lvlText w:val=""/>
      <w:lvlJc w:val="left"/>
      <w:pPr>
        <w:ind w:left="1495" w:hanging="360"/>
      </w:pPr>
      <w:rPr>
        <w:rFonts w:hint="default" w:ascii="Symbol" w:hAnsi="Symbol" w:eastAsiaTheme="minorHAnsi" w:cstheme="minorBidi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13" w15:restartNumberingAfterBreak="0">
    <w:nsid w:val="16381659"/>
    <w:multiLevelType w:val="multilevel"/>
    <w:tmpl w:val="BCD0249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FC03165"/>
    <w:multiLevelType w:val="multilevel"/>
    <w:tmpl w:val="5D1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0A21FCB"/>
    <w:multiLevelType w:val="hybridMultilevel"/>
    <w:tmpl w:val="B3FAF634"/>
    <w:lvl w:ilvl="0" w:tplc="BE00B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E070F2"/>
    <w:multiLevelType w:val="multilevel"/>
    <w:tmpl w:val="5E3E0D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705312"/>
    <w:multiLevelType w:val="hybridMultilevel"/>
    <w:tmpl w:val="E1946EF2"/>
    <w:lvl w:ilvl="0" w:tplc="D7BAB1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C92FD"/>
    <w:multiLevelType w:val="hybridMultilevel"/>
    <w:tmpl w:val="FFFFFFFF"/>
    <w:lvl w:ilvl="0" w:tplc="A790EFD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35BCD5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14DA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7E5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7E26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AE0A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18E3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587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5A2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CE6F3B"/>
    <w:multiLevelType w:val="multilevel"/>
    <w:tmpl w:val="D1CE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FBC535D"/>
    <w:multiLevelType w:val="multilevel"/>
    <w:tmpl w:val="DE5E5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050058A"/>
    <w:multiLevelType w:val="multilevel"/>
    <w:tmpl w:val="74AEC8B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41215591"/>
    <w:multiLevelType w:val="multilevel"/>
    <w:tmpl w:val="4A0AE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C6487"/>
    <w:multiLevelType w:val="multilevel"/>
    <w:tmpl w:val="B7003306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476949EF"/>
    <w:multiLevelType w:val="multilevel"/>
    <w:tmpl w:val="E5D01878"/>
    <w:lvl w:ilvl="0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25" w15:restartNumberingAfterBreak="0">
    <w:nsid w:val="4B07B033"/>
    <w:multiLevelType w:val="hybridMultilevel"/>
    <w:tmpl w:val="FFFFFFFF"/>
    <w:lvl w:ilvl="0" w:tplc="3536E39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E584A1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B2E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C0D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14F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EA7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062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CAD9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D4F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D47484"/>
    <w:multiLevelType w:val="multilevel"/>
    <w:tmpl w:val="319CA5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F205E"/>
    <w:multiLevelType w:val="multilevel"/>
    <w:tmpl w:val="EFAA1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79E73B8"/>
    <w:multiLevelType w:val="hybridMultilevel"/>
    <w:tmpl w:val="35509002"/>
    <w:lvl w:ilvl="0" w:tplc="040C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9" w15:restartNumberingAfterBreak="0">
    <w:nsid w:val="68136393"/>
    <w:multiLevelType w:val="multilevel"/>
    <w:tmpl w:val="205AA9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7136FD"/>
    <w:multiLevelType w:val="multilevel"/>
    <w:tmpl w:val="5D8C51B6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1" w15:restartNumberingAfterBreak="0">
    <w:nsid w:val="6BE27CD4"/>
    <w:multiLevelType w:val="multilevel"/>
    <w:tmpl w:val="D778C8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9F77C6"/>
    <w:multiLevelType w:val="multilevel"/>
    <w:tmpl w:val="975AFBB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4DE40BD"/>
    <w:multiLevelType w:val="multilevel"/>
    <w:tmpl w:val="B8E4AAA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4" w15:restartNumberingAfterBreak="0">
    <w:nsid w:val="77E14CB5"/>
    <w:multiLevelType w:val="multilevel"/>
    <w:tmpl w:val="F90E12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948855531">
    <w:abstractNumId w:val="18"/>
  </w:num>
  <w:num w:numId="2" w16cid:durableId="1365642438">
    <w:abstractNumId w:val="12"/>
  </w:num>
  <w:num w:numId="3" w16cid:durableId="983244240">
    <w:abstractNumId w:val="4"/>
  </w:num>
  <w:num w:numId="4" w16cid:durableId="365570465">
    <w:abstractNumId w:val="5"/>
  </w:num>
  <w:num w:numId="5" w16cid:durableId="1017074760">
    <w:abstractNumId w:val="6"/>
  </w:num>
  <w:num w:numId="6" w16cid:durableId="519515699">
    <w:abstractNumId w:val="7"/>
  </w:num>
  <w:num w:numId="7" w16cid:durableId="1657224980">
    <w:abstractNumId w:val="9"/>
  </w:num>
  <w:num w:numId="8" w16cid:durableId="938174244">
    <w:abstractNumId w:val="0"/>
  </w:num>
  <w:num w:numId="9" w16cid:durableId="455217035">
    <w:abstractNumId w:val="1"/>
  </w:num>
  <w:num w:numId="10" w16cid:durableId="1383941248">
    <w:abstractNumId w:val="2"/>
  </w:num>
  <w:num w:numId="11" w16cid:durableId="1059402012">
    <w:abstractNumId w:val="3"/>
  </w:num>
  <w:num w:numId="12" w16cid:durableId="1271622487">
    <w:abstractNumId w:val="8"/>
  </w:num>
  <w:num w:numId="13" w16cid:durableId="994378832">
    <w:abstractNumId w:val="28"/>
  </w:num>
  <w:num w:numId="14" w16cid:durableId="1237743103">
    <w:abstractNumId w:val="15"/>
  </w:num>
  <w:num w:numId="15" w16cid:durableId="1565023642">
    <w:abstractNumId w:val="17"/>
  </w:num>
  <w:num w:numId="16" w16cid:durableId="1804225615">
    <w:abstractNumId w:val="25"/>
  </w:num>
  <w:num w:numId="17" w16cid:durableId="1857498192">
    <w:abstractNumId w:val="20"/>
  </w:num>
  <w:num w:numId="18" w16cid:durableId="1098522083">
    <w:abstractNumId w:val="11"/>
  </w:num>
  <w:num w:numId="19" w16cid:durableId="182087381">
    <w:abstractNumId w:val="22"/>
  </w:num>
  <w:num w:numId="20" w16cid:durableId="726148811">
    <w:abstractNumId w:val="16"/>
  </w:num>
  <w:num w:numId="21" w16cid:durableId="1798722486">
    <w:abstractNumId w:val="29"/>
  </w:num>
  <w:num w:numId="22" w16cid:durableId="1535075015">
    <w:abstractNumId w:val="21"/>
  </w:num>
  <w:num w:numId="23" w16cid:durableId="1563639521">
    <w:abstractNumId w:val="23"/>
  </w:num>
  <w:num w:numId="24" w16cid:durableId="2054034228">
    <w:abstractNumId w:val="32"/>
  </w:num>
  <w:num w:numId="25" w16cid:durableId="148374160">
    <w:abstractNumId w:val="33"/>
  </w:num>
  <w:num w:numId="26" w16cid:durableId="364529631">
    <w:abstractNumId w:val="34"/>
  </w:num>
  <w:num w:numId="27" w16cid:durableId="243690797">
    <w:abstractNumId w:val="31"/>
  </w:num>
  <w:num w:numId="28" w16cid:durableId="791631355">
    <w:abstractNumId w:val="13"/>
  </w:num>
  <w:num w:numId="29" w16cid:durableId="1065419549">
    <w:abstractNumId w:val="19"/>
  </w:num>
  <w:num w:numId="30" w16cid:durableId="1518544833">
    <w:abstractNumId w:val="14"/>
  </w:num>
  <w:num w:numId="31" w16cid:durableId="1086655644">
    <w:abstractNumId w:val="26"/>
  </w:num>
  <w:num w:numId="32" w16cid:durableId="2023703224">
    <w:abstractNumId w:val="10"/>
  </w:num>
  <w:num w:numId="33" w16cid:durableId="27461981">
    <w:abstractNumId w:val="27"/>
  </w:num>
  <w:num w:numId="34" w16cid:durableId="663822713">
    <w:abstractNumId w:val="30"/>
  </w:num>
  <w:num w:numId="35" w16cid:durableId="1307659453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gutterAtTop/>
  <w:proofState w:spelling="clean" w:grammar="dirty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B5"/>
    <w:rsid w:val="0000611A"/>
    <w:rsid w:val="000104BC"/>
    <w:rsid w:val="00012397"/>
    <w:rsid w:val="00022FF0"/>
    <w:rsid w:val="00027554"/>
    <w:rsid w:val="00031471"/>
    <w:rsid w:val="00032587"/>
    <w:rsid w:val="00083C30"/>
    <w:rsid w:val="0009028C"/>
    <w:rsid w:val="000976F2"/>
    <w:rsid w:val="000A332B"/>
    <w:rsid w:val="000A48A9"/>
    <w:rsid w:val="000A562B"/>
    <w:rsid w:val="000C2820"/>
    <w:rsid w:val="000C6428"/>
    <w:rsid w:val="000D07C9"/>
    <w:rsid w:val="000E1904"/>
    <w:rsid w:val="000F18DB"/>
    <w:rsid w:val="001044F4"/>
    <w:rsid w:val="00134C34"/>
    <w:rsid w:val="0013762D"/>
    <w:rsid w:val="00151B9E"/>
    <w:rsid w:val="00155F68"/>
    <w:rsid w:val="00166230"/>
    <w:rsid w:val="00172AFE"/>
    <w:rsid w:val="00175B87"/>
    <w:rsid w:val="001820FB"/>
    <w:rsid w:val="0018631C"/>
    <w:rsid w:val="001A5C07"/>
    <w:rsid w:val="001C4D0B"/>
    <w:rsid w:val="001C77C1"/>
    <w:rsid w:val="001E52FB"/>
    <w:rsid w:val="001E5565"/>
    <w:rsid w:val="001E7A66"/>
    <w:rsid w:val="001F1E46"/>
    <w:rsid w:val="00210A31"/>
    <w:rsid w:val="00210F79"/>
    <w:rsid w:val="002114A1"/>
    <w:rsid w:val="00223484"/>
    <w:rsid w:val="0024322C"/>
    <w:rsid w:val="0026064E"/>
    <w:rsid w:val="00272DEA"/>
    <w:rsid w:val="0027702C"/>
    <w:rsid w:val="0027715E"/>
    <w:rsid w:val="0028583B"/>
    <w:rsid w:val="002858DA"/>
    <w:rsid w:val="002B5E61"/>
    <w:rsid w:val="002D1DF7"/>
    <w:rsid w:val="002E3E07"/>
    <w:rsid w:val="002E5335"/>
    <w:rsid w:val="002F4B2C"/>
    <w:rsid w:val="00304E9D"/>
    <w:rsid w:val="003052E9"/>
    <w:rsid w:val="003118C5"/>
    <w:rsid w:val="003334B4"/>
    <w:rsid w:val="00350BBA"/>
    <w:rsid w:val="00353B6B"/>
    <w:rsid w:val="0035400C"/>
    <w:rsid w:val="00360DFE"/>
    <w:rsid w:val="00371392"/>
    <w:rsid w:val="00375B5D"/>
    <w:rsid w:val="003876C4"/>
    <w:rsid w:val="003908E7"/>
    <w:rsid w:val="003A00F3"/>
    <w:rsid w:val="003A14F7"/>
    <w:rsid w:val="003B1496"/>
    <w:rsid w:val="003E526D"/>
    <w:rsid w:val="003F29E1"/>
    <w:rsid w:val="004223E3"/>
    <w:rsid w:val="004236F0"/>
    <w:rsid w:val="00425CE2"/>
    <w:rsid w:val="0044414B"/>
    <w:rsid w:val="00450A2B"/>
    <w:rsid w:val="00464ED9"/>
    <w:rsid w:val="00467E9C"/>
    <w:rsid w:val="004707C6"/>
    <w:rsid w:val="00476ADE"/>
    <w:rsid w:val="004831D5"/>
    <w:rsid w:val="00492099"/>
    <w:rsid w:val="004A3584"/>
    <w:rsid w:val="004B5E28"/>
    <w:rsid w:val="004C7DFF"/>
    <w:rsid w:val="004E7D51"/>
    <w:rsid w:val="004F2A4F"/>
    <w:rsid w:val="0050120E"/>
    <w:rsid w:val="00502A6B"/>
    <w:rsid w:val="00533946"/>
    <w:rsid w:val="00571D96"/>
    <w:rsid w:val="0058060E"/>
    <w:rsid w:val="005817BB"/>
    <w:rsid w:val="0058610D"/>
    <w:rsid w:val="00590BE9"/>
    <w:rsid w:val="0059151E"/>
    <w:rsid w:val="0059411B"/>
    <w:rsid w:val="005A146A"/>
    <w:rsid w:val="005A4BB7"/>
    <w:rsid w:val="005B17C5"/>
    <w:rsid w:val="005B353D"/>
    <w:rsid w:val="005B61BF"/>
    <w:rsid w:val="005B6DF5"/>
    <w:rsid w:val="005B7938"/>
    <w:rsid w:val="005C521F"/>
    <w:rsid w:val="005D6A8F"/>
    <w:rsid w:val="005F67AE"/>
    <w:rsid w:val="00607FAC"/>
    <w:rsid w:val="006122E6"/>
    <w:rsid w:val="00625148"/>
    <w:rsid w:val="006321DF"/>
    <w:rsid w:val="00650169"/>
    <w:rsid w:val="00652145"/>
    <w:rsid w:val="00660289"/>
    <w:rsid w:val="0068022B"/>
    <w:rsid w:val="006A6E64"/>
    <w:rsid w:val="006C5988"/>
    <w:rsid w:val="006D6084"/>
    <w:rsid w:val="006D6C84"/>
    <w:rsid w:val="006E5921"/>
    <w:rsid w:val="007422A1"/>
    <w:rsid w:val="00746CD2"/>
    <w:rsid w:val="00787358"/>
    <w:rsid w:val="00787CF4"/>
    <w:rsid w:val="007A7D91"/>
    <w:rsid w:val="007B50D6"/>
    <w:rsid w:val="007C684E"/>
    <w:rsid w:val="007E05AF"/>
    <w:rsid w:val="007E5C20"/>
    <w:rsid w:val="007F407E"/>
    <w:rsid w:val="00804CA2"/>
    <w:rsid w:val="00812082"/>
    <w:rsid w:val="0082008A"/>
    <w:rsid w:val="0082084B"/>
    <w:rsid w:val="00834531"/>
    <w:rsid w:val="008519B5"/>
    <w:rsid w:val="00862E94"/>
    <w:rsid w:val="00873D81"/>
    <w:rsid w:val="0087604D"/>
    <w:rsid w:val="00880BD0"/>
    <w:rsid w:val="00887A82"/>
    <w:rsid w:val="00893AFE"/>
    <w:rsid w:val="008C3AB4"/>
    <w:rsid w:val="008D074C"/>
    <w:rsid w:val="008E3A3F"/>
    <w:rsid w:val="008F45FA"/>
    <w:rsid w:val="00903B6A"/>
    <w:rsid w:val="009141A8"/>
    <w:rsid w:val="009160C9"/>
    <w:rsid w:val="009207C9"/>
    <w:rsid w:val="00925411"/>
    <w:rsid w:val="00955A6A"/>
    <w:rsid w:val="00960600"/>
    <w:rsid w:val="009725E5"/>
    <w:rsid w:val="009759F3"/>
    <w:rsid w:val="00976D73"/>
    <w:rsid w:val="00982175"/>
    <w:rsid w:val="00983AD1"/>
    <w:rsid w:val="00984DC7"/>
    <w:rsid w:val="009A535D"/>
    <w:rsid w:val="009B47F3"/>
    <w:rsid w:val="009C29F6"/>
    <w:rsid w:val="009C674F"/>
    <w:rsid w:val="009D5159"/>
    <w:rsid w:val="009D6272"/>
    <w:rsid w:val="009F1A18"/>
    <w:rsid w:val="009F339D"/>
    <w:rsid w:val="009F51BD"/>
    <w:rsid w:val="00A114BF"/>
    <w:rsid w:val="00A14DAF"/>
    <w:rsid w:val="00A32151"/>
    <w:rsid w:val="00A42E97"/>
    <w:rsid w:val="00A47340"/>
    <w:rsid w:val="00A6715F"/>
    <w:rsid w:val="00AA3359"/>
    <w:rsid w:val="00AA3F71"/>
    <w:rsid w:val="00AC14AA"/>
    <w:rsid w:val="00AD2FD3"/>
    <w:rsid w:val="00AF125E"/>
    <w:rsid w:val="00AF3F9A"/>
    <w:rsid w:val="00AF5BC0"/>
    <w:rsid w:val="00B141BB"/>
    <w:rsid w:val="00B53812"/>
    <w:rsid w:val="00B55C0C"/>
    <w:rsid w:val="00B65EDD"/>
    <w:rsid w:val="00B74D95"/>
    <w:rsid w:val="00B90533"/>
    <w:rsid w:val="00BA70B1"/>
    <w:rsid w:val="00BB08F9"/>
    <w:rsid w:val="00BB2686"/>
    <w:rsid w:val="00BC0DBD"/>
    <w:rsid w:val="00BD4EB5"/>
    <w:rsid w:val="00BD6573"/>
    <w:rsid w:val="00BE50C2"/>
    <w:rsid w:val="00BF234A"/>
    <w:rsid w:val="00BF5616"/>
    <w:rsid w:val="00BF644B"/>
    <w:rsid w:val="00C16935"/>
    <w:rsid w:val="00C16D9E"/>
    <w:rsid w:val="00C224A0"/>
    <w:rsid w:val="00C2287F"/>
    <w:rsid w:val="00C3091B"/>
    <w:rsid w:val="00C46F48"/>
    <w:rsid w:val="00C562CD"/>
    <w:rsid w:val="00C819B0"/>
    <w:rsid w:val="00CA2D47"/>
    <w:rsid w:val="00CB5133"/>
    <w:rsid w:val="00CC46AE"/>
    <w:rsid w:val="00CC4747"/>
    <w:rsid w:val="00CC56FE"/>
    <w:rsid w:val="00CC5DEE"/>
    <w:rsid w:val="00CD2BFC"/>
    <w:rsid w:val="00CE25DF"/>
    <w:rsid w:val="00CE6E82"/>
    <w:rsid w:val="00CE7537"/>
    <w:rsid w:val="00CF023D"/>
    <w:rsid w:val="00CF1809"/>
    <w:rsid w:val="00D32AFF"/>
    <w:rsid w:val="00D37F04"/>
    <w:rsid w:val="00D40DE6"/>
    <w:rsid w:val="00D41B55"/>
    <w:rsid w:val="00D423C4"/>
    <w:rsid w:val="00D44078"/>
    <w:rsid w:val="00D50965"/>
    <w:rsid w:val="00D50F9D"/>
    <w:rsid w:val="00D52BDB"/>
    <w:rsid w:val="00D53029"/>
    <w:rsid w:val="00D56644"/>
    <w:rsid w:val="00D63017"/>
    <w:rsid w:val="00D6444C"/>
    <w:rsid w:val="00D6456F"/>
    <w:rsid w:val="00D65683"/>
    <w:rsid w:val="00D7480B"/>
    <w:rsid w:val="00D7512C"/>
    <w:rsid w:val="00D77949"/>
    <w:rsid w:val="00D77A7F"/>
    <w:rsid w:val="00D810C9"/>
    <w:rsid w:val="00D81E24"/>
    <w:rsid w:val="00D84B7A"/>
    <w:rsid w:val="00D870CE"/>
    <w:rsid w:val="00D87B2B"/>
    <w:rsid w:val="00D87CB3"/>
    <w:rsid w:val="00D91086"/>
    <w:rsid w:val="00D92C3C"/>
    <w:rsid w:val="00DC3055"/>
    <w:rsid w:val="00DD1D73"/>
    <w:rsid w:val="00DF111D"/>
    <w:rsid w:val="00DF57C5"/>
    <w:rsid w:val="00E21963"/>
    <w:rsid w:val="00E31477"/>
    <w:rsid w:val="00E35EDB"/>
    <w:rsid w:val="00E4451E"/>
    <w:rsid w:val="00E526D5"/>
    <w:rsid w:val="00E53EBD"/>
    <w:rsid w:val="00E63578"/>
    <w:rsid w:val="00E64CA6"/>
    <w:rsid w:val="00E72DFF"/>
    <w:rsid w:val="00E75F51"/>
    <w:rsid w:val="00E90744"/>
    <w:rsid w:val="00E92DFB"/>
    <w:rsid w:val="00EA3F10"/>
    <w:rsid w:val="00F0572F"/>
    <w:rsid w:val="00F159E3"/>
    <w:rsid w:val="00F24DB0"/>
    <w:rsid w:val="00F33949"/>
    <w:rsid w:val="00F40652"/>
    <w:rsid w:val="00F5002F"/>
    <w:rsid w:val="00F811F9"/>
    <w:rsid w:val="00F855F2"/>
    <w:rsid w:val="00F94F03"/>
    <w:rsid w:val="00FA093F"/>
    <w:rsid w:val="00FA6074"/>
    <w:rsid w:val="00FA6315"/>
    <w:rsid w:val="00FB1F18"/>
    <w:rsid w:val="00FB3205"/>
    <w:rsid w:val="00FE2494"/>
    <w:rsid w:val="00FE2F6F"/>
    <w:rsid w:val="02130DC1"/>
    <w:rsid w:val="041046DA"/>
    <w:rsid w:val="04661AF0"/>
    <w:rsid w:val="04933414"/>
    <w:rsid w:val="04A2A460"/>
    <w:rsid w:val="04C67DBD"/>
    <w:rsid w:val="05951DF1"/>
    <w:rsid w:val="05E00F35"/>
    <w:rsid w:val="061E642F"/>
    <w:rsid w:val="062FB389"/>
    <w:rsid w:val="07AA439D"/>
    <w:rsid w:val="0B7E9A2D"/>
    <w:rsid w:val="0E26E497"/>
    <w:rsid w:val="0E3BF292"/>
    <w:rsid w:val="116669C8"/>
    <w:rsid w:val="133D25C9"/>
    <w:rsid w:val="13D81F02"/>
    <w:rsid w:val="13D97774"/>
    <w:rsid w:val="18C9AD4F"/>
    <w:rsid w:val="191CEE9D"/>
    <w:rsid w:val="19C1253F"/>
    <w:rsid w:val="1BC7AC98"/>
    <w:rsid w:val="1C07F0BB"/>
    <w:rsid w:val="1CAAD7AD"/>
    <w:rsid w:val="1D08DFD7"/>
    <w:rsid w:val="1E4DEB05"/>
    <w:rsid w:val="1EBC01A5"/>
    <w:rsid w:val="201D3F7B"/>
    <w:rsid w:val="221B1612"/>
    <w:rsid w:val="22A1613D"/>
    <w:rsid w:val="2E3176C0"/>
    <w:rsid w:val="2FA79748"/>
    <w:rsid w:val="2FF1C72A"/>
    <w:rsid w:val="305CA568"/>
    <w:rsid w:val="31E47587"/>
    <w:rsid w:val="3276290C"/>
    <w:rsid w:val="32F1AE59"/>
    <w:rsid w:val="337D28B8"/>
    <w:rsid w:val="354B1049"/>
    <w:rsid w:val="37C7BD6F"/>
    <w:rsid w:val="3901FDBA"/>
    <w:rsid w:val="39CB0C45"/>
    <w:rsid w:val="39DC3EEF"/>
    <w:rsid w:val="3C542759"/>
    <w:rsid w:val="3D0B3DD8"/>
    <w:rsid w:val="3D442E9B"/>
    <w:rsid w:val="3D93049C"/>
    <w:rsid w:val="3E1CEB00"/>
    <w:rsid w:val="3E3F6E1D"/>
    <w:rsid w:val="3EC09EBE"/>
    <w:rsid w:val="3ED1EA0A"/>
    <w:rsid w:val="4035FEA1"/>
    <w:rsid w:val="409C5CA8"/>
    <w:rsid w:val="41D33442"/>
    <w:rsid w:val="43D62B6B"/>
    <w:rsid w:val="43F0B37E"/>
    <w:rsid w:val="446E38E7"/>
    <w:rsid w:val="45AF56EE"/>
    <w:rsid w:val="49D2E6B2"/>
    <w:rsid w:val="49DBADD2"/>
    <w:rsid w:val="4B0C1EC6"/>
    <w:rsid w:val="4C8E348E"/>
    <w:rsid w:val="4CA63C04"/>
    <w:rsid w:val="4DA21A41"/>
    <w:rsid w:val="4E13FBF0"/>
    <w:rsid w:val="508F539B"/>
    <w:rsid w:val="50D3D294"/>
    <w:rsid w:val="52A445AF"/>
    <w:rsid w:val="53A35B23"/>
    <w:rsid w:val="53F57531"/>
    <w:rsid w:val="563D73EB"/>
    <w:rsid w:val="57202BF6"/>
    <w:rsid w:val="5840ABCB"/>
    <w:rsid w:val="588013EB"/>
    <w:rsid w:val="589C2CF1"/>
    <w:rsid w:val="5915910D"/>
    <w:rsid w:val="59298D88"/>
    <w:rsid w:val="5A37CDBB"/>
    <w:rsid w:val="5AAFE239"/>
    <w:rsid w:val="5ACC2666"/>
    <w:rsid w:val="5C6E8E07"/>
    <w:rsid w:val="5CD3CD32"/>
    <w:rsid w:val="5D95A3B0"/>
    <w:rsid w:val="5E382767"/>
    <w:rsid w:val="5E44ED83"/>
    <w:rsid w:val="5FAF9A66"/>
    <w:rsid w:val="61042D4F"/>
    <w:rsid w:val="61822FD2"/>
    <w:rsid w:val="65E718AA"/>
    <w:rsid w:val="66688577"/>
    <w:rsid w:val="666EAA73"/>
    <w:rsid w:val="6718A065"/>
    <w:rsid w:val="68BED303"/>
    <w:rsid w:val="6923F73C"/>
    <w:rsid w:val="69A41677"/>
    <w:rsid w:val="6D4E2714"/>
    <w:rsid w:val="6EE2B228"/>
    <w:rsid w:val="72EEC206"/>
    <w:rsid w:val="74E8E54B"/>
    <w:rsid w:val="75258602"/>
    <w:rsid w:val="76D7730D"/>
    <w:rsid w:val="77A02353"/>
    <w:rsid w:val="790C618E"/>
    <w:rsid w:val="7929A705"/>
    <w:rsid w:val="796B43F5"/>
    <w:rsid w:val="7B8A2B0E"/>
    <w:rsid w:val="7C8020E5"/>
    <w:rsid w:val="7D3BF645"/>
    <w:rsid w:val="7D505B52"/>
    <w:rsid w:val="7DF6F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A59E9"/>
  <w15:chartTrackingRefBased/>
  <w15:docId w15:val="{AD3DC902-4C23-4BEA-AECC-A4A2263D8E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3A00F3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semiHidden/>
    <w:unhideWhenUsed/>
    <w:rsid w:val="0035400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styleId="Titre3Car" w:customStyle="1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D65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1Car" w:customStyle="1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styleId="Titre4Car" w:customStyle="1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styleId="Titre7Car" w:customStyle="1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styleId="Sous-titreCar" w:customStyle="1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styleId="Titre5Car" w:customStyle="1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table" w:styleId="Grilledutableau">
    <w:name w:val="Table Grid"/>
    <w:basedOn w:val="TableauNormal"/>
    <w:uiPriority w:val="39"/>
    <w:rsid w:val="00BD4E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BD4EB5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rial" w:hAnsi="Arial"/>
      <w:color w:val="000000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sl.eu/international/partir-letranger/mobilite-doctorale-erasmus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psl.eu/international/partir-letranger/mobilite-doctorale-erasmus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staffmobility.eu/staff-week-search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1D77FBD732742B770584D19635A1B" ma:contentTypeVersion="16" ma:contentTypeDescription="Crée un document." ma:contentTypeScope="" ma:versionID="2d3f8c191d80e35b6ebe050486b6bbec">
  <xsd:schema xmlns:xsd="http://www.w3.org/2001/XMLSchema" xmlns:xs="http://www.w3.org/2001/XMLSchema" xmlns:p="http://schemas.microsoft.com/office/2006/metadata/properties" xmlns:ns2="e08e9df5-7474-4666-ad63-bc6256b10621" xmlns:ns3="481d5341-2dd5-4bb0-bc5f-fc07228cb12a" targetNamespace="http://schemas.microsoft.com/office/2006/metadata/properties" ma:root="true" ma:fieldsID="56478f32716910ba16d3bba7445c5b86" ns2:_="" ns3:_="">
    <xsd:import namespace="e08e9df5-7474-4666-ad63-bc6256b10621"/>
    <xsd:import namespace="481d5341-2dd5-4bb0-bc5f-fc07228cb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e9df5-7474-4666-ad63-bc6256b10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2825629-3c2e-4de7-855a-262a1979c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5341-2dd5-4bb0-bc5f-fc07228cb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e4f38a-b204-4ece-9db3-9ecbab8b93e2}" ma:internalName="TaxCatchAll" ma:showField="CatchAllData" ma:web="481d5341-2dd5-4bb0-bc5f-fc07228cb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e9df5-7474-4666-ad63-bc6256b10621">
      <Terms xmlns="http://schemas.microsoft.com/office/infopath/2007/PartnerControls"/>
    </lcf76f155ced4ddcb4097134ff3c332f>
    <TaxCatchAll xmlns="481d5341-2dd5-4bb0-bc5f-fc07228cb12a" xsi:nil="true"/>
  </documentManagement>
</p:properties>
</file>

<file path=customXml/itemProps1.xml><?xml version="1.0" encoding="utf-8"?>
<ds:datastoreItem xmlns:ds="http://schemas.openxmlformats.org/officeDocument/2006/customXml" ds:itemID="{AE16D94C-3D50-FC4E-A2E6-4C643E26DD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4F812-1F27-4989-BFC7-90ACF5BF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e9df5-7474-4666-ad63-bc6256b10621"/>
    <ds:schemaRef ds:uri="481d5341-2dd5-4bb0-bc5f-fc07228cb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F4DBF-9DD1-45CC-9680-9ECF3AE68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DCC62-383B-44D1-8D5A-5D762F6CDC1E}">
  <ds:schemaRefs>
    <ds:schemaRef ds:uri="http://schemas.microsoft.com/office/2006/metadata/properties"/>
    <ds:schemaRef ds:uri="http://schemas.microsoft.com/office/infopath/2007/PartnerControls"/>
    <ds:schemaRef ds:uri="e08e9df5-7474-4666-ad63-bc6256b10621"/>
    <ds:schemaRef ds:uri="481d5341-2dd5-4bb0-bc5f-fc07228cb1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ephonesavanh</dc:creator>
  <keywords/>
  <dc:description/>
  <lastModifiedBy>Elliot Mares</lastModifiedBy>
  <revision>23</revision>
  <lastPrinted>2018-10-10T14:09:00.0000000Z</lastPrinted>
  <dcterms:created xsi:type="dcterms:W3CDTF">2025-09-25T09:20:00.0000000Z</dcterms:created>
  <dcterms:modified xsi:type="dcterms:W3CDTF">2025-10-10T13:52:46.2312722Z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0x010100EF71D77FBD732742B770584D19635A1B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